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AB23A08">
      <w:pPr>
        <w:rPr>
          <w:rFonts w:ascii="Times New Roman" w:hAnsi="Times New Roman" w:eastAsia="宋体" w:cs="Times New Roman"/>
          <w:lang w:eastAsia="zh-CN"/>
        </w:rPr>
      </w:pPr>
    </w:p>
    <w:p w14:paraId="4268F935">
      <w:pPr>
        <w:rPr>
          <w:rFonts w:ascii="Times New Roman" w:hAnsi="Times New Roman" w:eastAsia="宋体" w:cs="Times New Roman"/>
          <w:lang w:eastAsia="zh-CN"/>
        </w:rPr>
      </w:pPr>
    </w:p>
    <w:p w14:paraId="502D4EDA">
      <w:pPr>
        <w:rPr>
          <w:rFonts w:ascii="Times New Roman" w:hAnsi="Times New Roman" w:eastAsia="宋体" w:cs="Times New Roman"/>
          <w:lang w:eastAsia="zh-CN"/>
        </w:rPr>
      </w:pPr>
    </w:p>
    <w:p w14:paraId="7536F0E9">
      <w:pPr>
        <w:rPr>
          <w:rFonts w:ascii="Times New Roman" w:hAnsi="Times New Roman" w:eastAsia="宋体" w:cs="Times New Roman"/>
          <w:lang w:eastAsia="zh-CN"/>
        </w:rPr>
      </w:pPr>
    </w:p>
    <w:p w14:paraId="57C5142D">
      <w:pPr>
        <w:rPr>
          <w:rFonts w:ascii="Times New Roman" w:hAnsi="Times New Roman" w:eastAsia="宋体" w:cs="Times New Roman"/>
          <w:lang w:eastAsia="zh-CN"/>
        </w:rPr>
      </w:pPr>
    </w:p>
    <w:p w14:paraId="3EA3F42A">
      <w:pPr>
        <w:jc w:val="center"/>
        <w:rPr>
          <w:rFonts w:ascii="Times New Roman" w:hAnsi="Times New Roman" w:eastAsia="方正小标宋简体" w:cs="Times New Roman"/>
          <w:spacing w:val="20"/>
          <w:sz w:val="52"/>
          <w:szCs w:val="52"/>
          <w:lang w:eastAsia="zh-CN"/>
        </w:rPr>
      </w:pPr>
      <w:r>
        <w:rPr>
          <w:rFonts w:ascii="Times New Roman" w:hAnsi="Times New Roman" w:eastAsia="方正小标宋简体" w:cs="Times New Roman"/>
          <w:spacing w:val="20"/>
          <w:sz w:val="52"/>
          <w:szCs w:val="52"/>
          <w:lang w:eastAsia="zh-CN"/>
        </w:rPr>
        <w:t>中国粮油学会团体标准</w:t>
      </w:r>
    </w:p>
    <w:p w14:paraId="32DAC5BA">
      <w:pPr>
        <w:rPr>
          <w:rFonts w:ascii="Times New Roman" w:hAnsi="Times New Roman" w:eastAsia="宋体" w:cs="Times New Roman"/>
          <w:lang w:eastAsia="zh-CN"/>
        </w:rPr>
      </w:pPr>
    </w:p>
    <w:p w14:paraId="0DE03B94">
      <w:pPr>
        <w:rPr>
          <w:rFonts w:ascii="Times New Roman" w:hAnsi="Times New Roman" w:eastAsia="宋体" w:cs="Times New Roman"/>
          <w:lang w:eastAsia="zh-CN"/>
        </w:rPr>
      </w:pPr>
    </w:p>
    <w:p w14:paraId="6E5A496C">
      <w:pPr>
        <w:rPr>
          <w:rFonts w:ascii="Times New Roman" w:hAnsi="Times New Roman" w:eastAsia="宋体" w:cs="Times New Roman"/>
          <w:lang w:eastAsia="zh-CN"/>
        </w:rPr>
      </w:pPr>
    </w:p>
    <w:p w14:paraId="18BF97F7">
      <w:pPr>
        <w:rPr>
          <w:rFonts w:ascii="Times New Roman" w:hAnsi="Times New Roman" w:eastAsia="宋体" w:cs="Times New Roman"/>
          <w:lang w:eastAsia="zh-CN"/>
        </w:rPr>
      </w:pPr>
    </w:p>
    <w:p w14:paraId="0935AF95">
      <w:pPr>
        <w:rPr>
          <w:rFonts w:ascii="Times New Roman" w:hAnsi="Times New Roman" w:eastAsia="宋体" w:cs="Times New Roman"/>
          <w:lang w:eastAsia="zh-CN"/>
        </w:rPr>
      </w:pPr>
    </w:p>
    <w:p w14:paraId="6B9D9A3A">
      <w:pPr>
        <w:rPr>
          <w:rFonts w:ascii="Times New Roman" w:hAnsi="Times New Roman" w:eastAsia="宋体" w:cs="Times New Roman"/>
          <w:lang w:eastAsia="zh-CN"/>
        </w:rPr>
      </w:pPr>
    </w:p>
    <w:p w14:paraId="18329EA1">
      <w:pPr>
        <w:rPr>
          <w:rFonts w:ascii="Times New Roman" w:hAnsi="Times New Roman" w:eastAsia="宋体" w:cs="Times New Roman"/>
          <w:lang w:eastAsia="zh-CN"/>
        </w:rPr>
      </w:pPr>
    </w:p>
    <w:p w14:paraId="68FC4E31">
      <w:pPr>
        <w:rPr>
          <w:rFonts w:ascii="Times New Roman" w:hAnsi="Times New Roman" w:eastAsia="宋体" w:cs="Times New Roman"/>
          <w:lang w:eastAsia="zh-CN"/>
        </w:rPr>
      </w:pPr>
    </w:p>
    <w:p w14:paraId="3250A77C">
      <w:pPr>
        <w:rPr>
          <w:rFonts w:ascii="Times New Roman" w:hAnsi="Times New Roman" w:eastAsia="宋体" w:cs="Times New Roman"/>
          <w:lang w:eastAsia="zh-CN"/>
        </w:rPr>
      </w:pPr>
    </w:p>
    <w:p w14:paraId="5B361949">
      <w:pPr>
        <w:rPr>
          <w:rFonts w:ascii="Times New Roman" w:hAnsi="Times New Roman" w:eastAsia="宋体" w:cs="Times New Roman"/>
          <w:lang w:eastAsia="zh-CN"/>
        </w:rPr>
      </w:pPr>
    </w:p>
    <w:p w14:paraId="4574EC2C">
      <w:pPr>
        <w:rPr>
          <w:rFonts w:ascii="Times New Roman" w:hAnsi="Times New Roman" w:eastAsia="宋体" w:cs="Times New Roman"/>
          <w:lang w:eastAsia="zh-CN"/>
        </w:rPr>
      </w:pPr>
    </w:p>
    <w:p w14:paraId="319527FB">
      <w:pPr>
        <w:rPr>
          <w:rFonts w:ascii="Times New Roman" w:hAnsi="Times New Roman" w:eastAsia="宋体" w:cs="Times New Roman"/>
          <w:lang w:eastAsia="zh-CN"/>
        </w:rPr>
      </w:pPr>
    </w:p>
    <w:p w14:paraId="422B9369">
      <w:pPr>
        <w:jc w:val="center"/>
        <w:rPr>
          <w:rFonts w:ascii="Times New Roman" w:hAnsi="Times New Roman" w:eastAsia="黑体" w:cs="Times New Roman"/>
          <w:bCs/>
          <w:sz w:val="52"/>
          <w:szCs w:val="52"/>
          <w:lang w:eastAsia="zh-CN"/>
        </w:rPr>
      </w:pPr>
      <w:r>
        <w:rPr>
          <w:rFonts w:ascii="Times New Roman" w:hAnsi="Times New Roman" w:eastAsia="黑体" w:cs="Times New Roman"/>
          <w:bCs/>
          <w:sz w:val="52"/>
          <w:szCs w:val="52"/>
          <w:lang w:eastAsia="zh-CN"/>
        </w:rPr>
        <w:t>粮食中总淀粉含量的测定-双酶法</w:t>
      </w:r>
    </w:p>
    <w:p w14:paraId="1CC30B13">
      <w:pPr>
        <w:spacing w:before="156" w:beforeLines="50"/>
        <w:jc w:val="center"/>
        <w:rPr>
          <w:rFonts w:ascii="Times New Roman" w:hAnsi="Times New Roman" w:eastAsia="黑体" w:cs="Times New Roman"/>
          <w:bCs/>
          <w:sz w:val="44"/>
          <w:szCs w:val="44"/>
          <w:lang w:eastAsia="zh-CN"/>
        </w:rPr>
      </w:pPr>
      <w:r>
        <w:rPr>
          <w:rFonts w:ascii="Times New Roman" w:hAnsi="Times New Roman" w:eastAsia="黑体" w:cs="Times New Roman"/>
          <w:bCs/>
          <w:sz w:val="44"/>
          <w:szCs w:val="44"/>
          <w:lang w:eastAsia="zh-CN"/>
        </w:rPr>
        <w:t>（</w:t>
      </w:r>
      <w:r>
        <w:rPr>
          <w:rFonts w:ascii="Times New Roman" w:hAnsi="Times New Roman" w:eastAsia="黑体" w:cs="Times New Roman"/>
          <w:bCs/>
          <w:sz w:val="52"/>
          <w:szCs w:val="52"/>
          <w:lang w:eastAsia="zh-CN"/>
        </w:rPr>
        <w:t>征求意见稿</w:t>
      </w:r>
      <w:r>
        <w:rPr>
          <w:rFonts w:ascii="Times New Roman" w:hAnsi="Times New Roman" w:eastAsia="黑体" w:cs="Times New Roman"/>
          <w:bCs/>
          <w:sz w:val="44"/>
          <w:szCs w:val="44"/>
          <w:lang w:eastAsia="zh-CN"/>
        </w:rPr>
        <w:t>）</w:t>
      </w:r>
    </w:p>
    <w:p w14:paraId="018C88E9">
      <w:pPr>
        <w:spacing w:before="156" w:beforeLines="50"/>
        <w:jc w:val="center"/>
        <w:rPr>
          <w:rFonts w:ascii="Times New Roman" w:hAnsi="Times New Roman" w:eastAsia="黑体" w:cs="Times New Roman"/>
          <w:bCs/>
          <w:sz w:val="44"/>
          <w:szCs w:val="44"/>
          <w:lang w:eastAsia="zh-CN"/>
        </w:rPr>
      </w:pPr>
      <w:r>
        <w:rPr>
          <w:rFonts w:ascii="Times New Roman" w:hAnsi="Times New Roman" w:eastAsia="黑体" w:cs="Times New Roman"/>
          <w:bCs/>
          <w:sz w:val="44"/>
          <w:szCs w:val="44"/>
          <w:lang w:eastAsia="zh-CN"/>
        </w:rPr>
        <w:t>编制说明</w:t>
      </w:r>
    </w:p>
    <w:p w14:paraId="076CFE2F">
      <w:pPr>
        <w:rPr>
          <w:rFonts w:ascii="Times New Roman" w:hAnsi="Times New Roman" w:eastAsia="宋体" w:cs="Times New Roman"/>
          <w:b/>
          <w:lang w:eastAsia="zh-CN"/>
        </w:rPr>
      </w:pPr>
    </w:p>
    <w:p w14:paraId="7B5FF2A4">
      <w:pPr>
        <w:rPr>
          <w:rFonts w:ascii="Times New Roman" w:hAnsi="Times New Roman" w:eastAsia="宋体" w:cs="Times New Roman"/>
          <w:b/>
          <w:lang w:eastAsia="zh-CN"/>
        </w:rPr>
      </w:pPr>
    </w:p>
    <w:p w14:paraId="2AEC714E">
      <w:pPr>
        <w:rPr>
          <w:rFonts w:ascii="Times New Roman" w:hAnsi="Times New Roman" w:eastAsia="宋体" w:cs="Times New Roman"/>
          <w:b/>
          <w:lang w:eastAsia="zh-CN"/>
        </w:rPr>
      </w:pPr>
    </w:p>
    <w:p w14:paraId="4BC398F9">
      <w:pPr>
        <w:rPr>
          <w:rFonts w:ascii="Times New Roman" w:hAnsi="Times New Roman" w:eastAsia="宋体" w:cs="Times New Roman"/>
          <w:b/>
          <w:lang w:eastAsia="zh-CN"/>
        </w:rPr>
      </w:pPr>
    </w:p>
    <w:p w14:paraId="29D067EB">
      <w:pPr>
        <w:rPr>
          <w:rFonts w:ascii="Times New Roman" w:hAnsi="Times New Roman" w:eastAsia="宋体" w:cs="Times New Roman"/>
          <w:b/>
          <w:lang w:eastAsia="zh-CN"/>
        </w:rPr>
      </w:pPr>
    </w:p>
    <w:p w14:paraId="3B2F6595">
      <w:pPr>
        <w:rPr>
          <w:rFonts w:ascii="Times New Roman" w:hAnsi="Times New Roman" w:eastAsia="宋体" w:cs="Times New Roman"/>
          <w:b/>
          <w:lang w:eastAsia="zh-CN"/>
        </w:rPr>
      </w:pPr>
    </w:p>
    <w:p w14:paraId="2458DC59">
      <w:pPr>
        <w:rPr>
          <w:rFonts w:ascii="Times New Roman" w:hAnsi="Times New Roman" w:eastAsia="宋体" w:cs="Times New Roman"/>
          <w:b/>
          <w:lang w:eastAsia="zh-CN"/>
        </w:rPr>
      </w:pPr>
    </w:p>
    <w:p w14:paraId="000A064C">
      <w:pPr>
        <w:rPr>
          <w:rFonts w:ascii="Times New Roman" w:hAnsi="Times New Roman" w:eastAsia="宋体" w:cs="Times New Roman"/>
          <w:b/>
          <w:lang w:eastAsia="zh-CN"/>
        </w:rPr>
      </w:pPr>
    </w:p>
    <w:p w14:paraId="1BA03B6C">
      <w:pPr>
        <w:rPr>
          <w:rFonts w:ascii="Times New Roman" w:hAnsi="Times New Roman" w:eastAsia="宋体" w:cs="Times New Roman"/>
          <w:b/>
          <w:lang w:eastAsia="zh-CN"/>
        </w:rPr>
      </w:pPr>
    </w:p>
    <w:p w14:paraId="6D145F59">
      <w:pPr>
        <w:rPr>
          <w:rFonts w:ascii="Times New Roman" w:hAnsi="Times New Roman" w:eastAsia="宋体" w:cs="Times New Roman"/>
          <w:b/>
          <w:lang w:eastAsia="zh-CN"/>
        </w:rPr>
      </w:pPr>
    </w:p>
    <w:p w14:paraId="419ABAE4">
      <w:pPr>
        <w:rPr>
          <w:rFonts w:ascii="Times New Roman" w:hAnsi="Times New Roman" w:eastAsia="宋体" w:cs="Times New Roman"/>
          <w:b/>
          <w:lang w:eastAsia="zh-CN"/>
        </w:rPr>
      </w:pPr>
    </w:p>
    <w:p w14:paraId="6800837C">
      <w:pPr>
        <w:rPr>
          <w:rFonts w:ascii="Times New Roman" w:hAnsi="Times New Roman" w:eastAsia="宋体" w:cs="Times New Roman"/>
          <w:b/>
          <w:lang w:eastAsia="zh-CN"/>
        </w:rPr>
      </w:pPr>
    </w:p>
    <w:p w14:paraId="76C110E6">
      <w:pPr>
        <w:rPr>
          <w:rFonts w:ascii="Times New Roman" w:hAnsi="Times New Roman" w:eastAsia="宋体" w:cs="Times New Roman"/>
          <w:b/>
          <w:lang w:eastAsia="zh-CN"/>
        </w:rPr>
      </w:pPr>
    </w:p>
    <w:p w14:paraId="67B23420">
      <w:pPr>
        <w:rPr>
          <w:rFonts w:ascii="Times New Roman" w:hAnsi="Times New Roman" w:eastAsia="宋体" w:cs="Times New Roman"/>
          <w:b/>
          <w:lang w:eastAsia="zh-CN"/>
        </w:rPr>
      </w:pPr>
    </w:p>
    <w:p w14:paraId="3A86911B">
      <w:pPr>
        <w:rPr>
          <w:rFonts w:ascii="Times New Roman" w:hAnsi="Times New Roman" w:eastAsia="宋体" w:cs="Times New Roman"/>
          <w:b/>
          <w:lang w:eastAsia="zh-CN"/>
        </w:rPr>
      </w:pPr>
    </w:p>
    <w:p w14:paraId="57799EB6">
      <w:pPr>
        <w:rPr>
          <w:rFonts w:ascii="Times New Roman" w:hAnsi="Times New Roman" w:eastAsia="宋体" w:cs="Times New Roman"/>
          <w:b/>
          <w:lang w:eastAsia="zh-CN"/>
        </w:rPr>
      </w:pPr>
    </w:p>
    <w:p w14:paraId="6FCA8727">
      <w:pPr>
        <w:rPr>
          <w:rFonts w:ascii="Times New Roman" w:hAnsi="Times New Roman" w:eastAsia="宋体" w:cs="Times New Roman"/>
          <w:b/>
          <w:lang w:eastAsia="zh-CN"/>
        </w:rPr>
      </w:pPr>
    </w:p>
    <w:p w14:paraId="47AFD79B">
      <w:pPr>
        <w:jc w:val="center"/>
        <w:rPr>
          <w:rFonts w:ascii="Times New Roman" w:hAnsi="Times New Roman" w:eastAsia="黑体" w:cs="Times New Roman"/>
          <w:bCs/>
          <w:sz w:val="36"/>
          <w:szCs w:val="36"/>
          <w:lang w:eastAsia="zh-CN"/>
        </w:rPr>
      </w:pPr>
      <w:r>
        <w:rPr>
          <w:rFonts w:ascii="Times New Roman" w:hAnsi="Times New Roman" w:eastAsia="黑体" w:cs="Times New Roman"/>
          <w:bCs/>
          <w:sz w:val="36"/>
          <w:szCs w:val="36"/>
          <w:lang w:eastAsia="zh-CN"/>
        </w:rPr>
        <w:t>河南工业大学</w:t>
      </w:r>
    </w:p>
    <w:p w14:paraId="3FEF39A3">
      <w:pPr>
        <w:spacing w:before="156" w:beforeLines="50"/>
        <w:jc w:val="center"/>
        <w:rPr>
          <w:rFonts w:ascii="Times New Roman" w:hAnsi="Times New Roman" w:eastAsia="黑体" w:cs="Times New Roman"/>
          <w:bCs/>
          <w:lang w:eastAsia="zh-CN"/>
        </w:rPr>
      </w:pPr>
      <w:r>
        <w:rPr>
          <w:rFonts w:ascii="Times New Roman" w:hAnsi="Times New Roman" w:eastAsia="黑体" w:cs="Times New Roman"/>
          <w:bCs/>
          <w:sz w:val="36"/>
          <w:szCs w:val="36"/>
          <w:lang w:eastAsia="zh-CN"/>
        </w:rPr>
        <w:t>202</w:t>
      </w:r>
      <w:r>
        <w:rPr>
          <w:rFonts w:hint="eastAsia" w:ascii="Times New Roman" w:hAnsi="Times New Roman" w:eastAsia="黑体" w:cs="Times New Roman"/>
          <w:bCs/>
          <w:sz w:val="36"/>
          <w:szCs w:val="36"/>
          <w:lang w:eastAsia="zh-CN"/>
        </w:rPr>
        <w:t>6</w:t>
      </w:r>
      <w:r>
        <w:rPr>
          <w:rFonts w:ascii="Times New Roman" w:hAnsi="Times New Roman" w:eastAsia="黑体" w:cs="Times New Roman"/>
          <w:bCs/>
          <w:sz w:val="36"/>
          <w:szCs w:val="36"/>
          <w:lang w:eastAsia="zh-CN"/>
        </w:rPr>
        <w:t>年0</w:t>
      </w:r>
      <w:r>
        <w:rPr>
          <w:rFonts w:hint="eastAsia" w:ascii="Times New Roman" w:hAnsi="Times New Roman" w:eastAsia="黑体" w:cs="Times New Roman"/>
          <w:bCs/>
          <w:sz w:val="36"/>
          <w:szCs w:val="36"/>
          <w:lang w:eastAsia="zh-CN"/>
        </w:rPr>
        <w:t>2</w:t>
      </w:r>
      <w:r>
        <w:rPr>
          <w:rFonts w:ascii="Times New Roman" w:hAnsi="Times New Roman" w:eastAsia="黑体" w:cs="Times New Roman"/>
          <w:bCs/>
          <w:sz w:val="36"/>
          <w:szCs w:val="36"/>
          <w:lang w:eastAsia="zh-CN"/>
        </w:rPr>
        <w:t>月</w:t>
      </w:r>
    </w:p>
    <w:p w14:paraId="5783045F">
      <w:pPr>
        <w:widowControl w:val="0"/>
        <w:kinsoku/>
        <w:autoSpaceDE/>
        <w:autoSpaceDN/>
        <w:spacing w:line="560" w:lineRule="exact"/>
        <w:jc w:val="center"/>
        <w:textAlignment w:val="auto"/>
        <w:rPr>
          <w:rFonts w:ascii="Times New Roman" w:hAnsi="Times New Roman" w:eastAsia="黑体" w:cs="Times New Roman"/>
          <w:sz w:val="36"/>
          <w:szCs w:val="36"/>
          <w:lang w:eastAsia="zh-CN"/>
        </w:rPr>
        <w:sectPr>
          <w:pgSz w:w="11906" w:h="16838"/>
          <w:pgMar w:top="2098" w:right="1531" w:bottom="1531" w:left="1531" w:header="851" w:footer="992" w:gutter="0"/>
          <w:cols w:space="425" w:num="1"/>
          <w:docGrid w:type="lines" w:linePitch="312" w:charSpace="0"/>
        </w:sectPr>
      </w:pPr>
    </w:p>
    <w:p w14:paraId="584B8867">
      <w:pPr>
        <w:widowControl w:val="0"/>
        <w:kinsoku/>
        <w:autoSpaceDE/>
        <w:autoSpaceDN/>
        <w:spacing w:line="560" w:lineRule="exact"/>
        <w:jc w:val="center"/>
        <w:textAlignment w:val="auto"/>
        <w:rPr>
          <w:rFonts w:ascii="Times New Roman" w:hAnsi="Times New Roman" w:eastAsia="黑体" w:cs="Times New Roman"/>
          <w:sz w:val="36"/>
          <w:szCs w:val="36"/>
          <w:lang w:eastAsia="zh-CN"/>
        </w:rPr>
      </w:pPr>
      <w:r>
        <w:rPr>
          <w:rFonts w:ascii="Times New Roman" w:hAnsi="Times New Roman" w:eastAsia="黑体" w:cs="Times New Roman"/>
          <w:sz w:val="36"/>
          <w:szCs w:val="36"/>
          <w:lang w:eastAsia="zh-CN"/>
        </w:rPr>
        <w:t>《粮食中总淀粉含量的测定-双酶法》编制说明</w:t>
      </w:r>
    </w:p>
    <w:p w14:paraId="64BCB3BA">
      <w:pPr>
        <w:widowControl w:val="0"/>
        <w:kinsoku/>
        <w:autoSpaceDE/>
        <w:autoSpaceDN/>
        <w:spacing w:line="560" w:lineRule="exact"/>
        <w:jc w:val="center"/>
        <w:textAlignment w:val="auto"/>
        <w:rPr>
          <w:rFonts w:ascii="Times New Roman" w:hAnsi="Times New Roman" w:eastAsia="黑体" w:cs="Times New Roman"/>
          <w:sz w:val="32"/>
          <w:szCs w:val="32"/>
          <w:lang w:eastAsia="zh-CN"/>
        </w:rPr>
      </w:pPr>
    </w:p>
    <w:p w14:paraId="3647DE62">
      <w:pPr>
        <w:widowControl w:val="0"/>
        <w:kinsoku/>
        <w:autoSpaceDE/>
        <w:autoSpaceDN/>
        <w:spacing w:line="500" w:lineRule="exact"/>
        <w:ind w:firstLine="562" w:firstLineChars="200"/>
        <w:jc w:val="both"/>
        <w:textAlignment w:val="auto"/>
        <w:rPr>
          <w:rFonts w:ascii="Times New Roman" w:hAnsi="Times New Roman" w:eastAsia="仿宋_GB2312" w:cs="Times New Roman"/>
          <w:b/>
          <w:sz w:val="28"/>
          <w:szCs w:val="28"/>
          <w:lang w:eastAsia="zh-CN"/>
        </w:rPr>
      </w:pPr>
      <w:r>
        <w:rPr>
          <w:rFonts w:ascii="Times New Roman" w:hAnsi="Times New Roman" w:eastAsia="仿宋_GB2312" w:cs="Times New Roman"/>
          <w:b/>
          <w:sz w:val="28"/>
          <w:szCs w:val="28"/>
          <w:lang w:eastAsia="zh-CN"/>
        </w:rPr>
        <w:t>1.工作简况</w:t>
      </w:r>
      <w:r>
        <w:rPr>
          <w:rFonts w:ascii="Times New Roman" w:hAnsi="Times New Roman" w:eastAsia="仿宋_GB2312" w:cs="Times New Roman"/>
          <w:sz w:val="28"/>
          <w:szCs w:val="28"/>
          <w:lang w:eastAsia="zh-CN"/>
        </w:rPr>
        <w:t>（包括任务来源、协作单位、主要工作过程、标准主要起草人及其所做的工作等）</w:t>
      </w:r>
    </w:p>
    <w:p w14:paraId="7E2B1A15">
      <w:pPr>
        <w:widowControl w:val="0"/>
        <w:kinsoku/>
        <w:autoSpaceDE/>
        <w:autoSpaceDN/>
        <w:spacing w:line="500" w:lineRule="exact"/>
        <w:ind w:firstLine="562" w:firstLineChars="200"/>
        <w:jc w:val="both"/>
        <w:textAlignment w:val="auto"/>
        <w:rPr>
          <w:rFonts w:ascii="Times New Roman" w:hAnsi="Times New Roman" w:eastAsia="仿宋_GB2312" w:cs="Times New Roman"/>
          <w:sz w:val="28"/>
          <w:szCs w:val="28"/>
          <w:lang w:eastAsia="zh-CN"/>
        </w:rPr>
      </w:pPr>
      <w:r>
        <w:rPr>
          <w:rFonts w:ascii="Times New Roman" w:hAnsi="Times New Roman" w:eastAsia="仿宋_GB2312" w:cs="Times New Roman"/>
          <w:b/>
          <w:sz w:val="28"/>
          <w:szCs w:val="28"/>
          <w:lang w:eastAsia="zh-CN"/>
        </w:rPr>
        <w:t>1.1 任务来源</w:t>
      </w:r>
      <w:r>
        <w:rPr>
          <w:rFonts w:ascii="Times New Roman" w:hAnsi="Times New Roman" w:eastAsia="仿宋_GB2312" w:cs="Times New Roman"/>
          <w:bCs/>
          <w:sz w:val="28"/>
          <w:szCs w:val="28"/>
          <w:u w:val="single"/>
          <w:lang w:eastAsia="zh-CN"/>
        </w:rPr>
        <w:t>（包括</w:t>
      </w:r>
      <w:bookmarkStart w:id="0" w:name="_Hlk111477055"/>
      <w:r>
        <w:rPr>
          <w:rFonts w:ascii="Times New Roman" w:hAnsi="Times New Roman" w:eastAsia="仿宋_GB2312" w:cs="Times New Roman"/>
          <w:bCs/>
          <w:sz w:val="28"/>
          <w:szCs w:val="28"/>
          <w:u w:val="single"/>
          <w:lang w:eastAsia="zh-CN"/>
        </w:rPr>
        <w:t>标准下达计划</w:t>
      </w:r>
      <w:bookmarkEnd w:id="0"/>
      <w:r>
        <w:rPr>
          <w:rFonts w:ascii="Times New Roman" w:hAnsi="Times New Roman" w:eastAsia="仿宋_GB2312" w:cs="Times New Roman"/>
          <w:bCs/>
          <w:sz w:val="28"/>
          <w:szCs w:val="28"/>
          <w:u w:val="single"/>
          <w:lang w:eastAsia="zh-CN"/>
        </w:rPr>
        <w:t>、标准计划项目调整、</w:t>
      </w:r>
      <w:bookmarkStart w:id="1" w:name="_Hlk111477094"/>
      <w:r>
        <w:rPr>
          <w:rFonts w:ascii="Times New Roman" w:hAnsi="Times New Roman" w:eastAsia="仿宋_GB2312" w:cs="Times New Roman"/>
          <w:bCs/>
          <w:sz w:val="28"/>
          <w:szCs w:val="28"/>
          <w:u w:val="single"/>
          <w:lang w:eastAsia="zh-CN"/>
        </w:rPr>
        <w:t>标准制修订的背景、必要性和重要</w:t>
      </w:r>
      <w:bookmarkEnd w:id="1"/>
      <w:r>
        <w:rPr>
          <w:rFonts w:ascii="Times New Roman" w:hAnsi="Times New Roman" w:eastAsia="仿宋_GB2312" w:cs="Times New Roman"/>
          <w:bCs/>
          <w:sz w:val="28"/>
          <w:szCs w:val="28"/>
          <w:u w:val="single"/>
          <w:lang w:eastAsia="zh-CN"/>
        </w:rPr>
        <w:t>意义等）</w:t>
      </w:r>
    </w:p>
    <w:p w14:paraId="56949894">
      <w:pPr>
        <w:widowControl w:val="0"/>
        <w:kinsoku/>
        <w:autoSpaceDE/>
        <w:autoSpaceDN/>
        <w:spacing w:line="500" w:lineRule="exact"/>
        <w:ind w:firstLine="560" w:firstLineChars="200"/>
        <w:jc w:val="both"/>
        <w:textAlignment w:val="auto"/>
        <w:rPr>
          <w:rFonts w:ascii="Times New Roman" w:hAnsi="Times New Roman" w:eastAsia="仿宋_GB2312" w:cs="Times New Roman"/>
          <w:sz w:val="28"/>
          <w:szCs w:val="28"/>
          <w:lang w:eastAsia="zh-CN"/>
        </w:rPr>
      </w:pPr>
      <w:r>
        <w:rPr>
          <w:rFonts w:ascii="Times New Roman" w:hAnsi="Times New Roman" w:eastAsia="仿宋_GB2312" w:cs="Times New Roman"/>
          <w:sz w:val="28"/>
          <w:szCs w:val="28"/>
          <w:lang w:eastAsia="zh-CN"/>
        </w:rPr>
        <w:t>1.1.1 标准下达计划（包括标准下达计划文件、标准名称、第一起草单位等）</w:t>
      </w:r>
    </w:p>
    <w:p w14:paraId="1DAE56D6">
      <w:pPr>
        <w:widowControl w:val="0"/>
        <w:kinsoku/>
        <w:autoSpaceDE/>
        <w:autoSpaceDN/>
        <w:spacing w:line="500" w:lineRule="exact"/>
        <w:ind w:firstLine="480" w:firstLineChars="200"/>
        <w:jc w:val="both"/>
        <w:textAlignment w:val="auto"/>
        <w:rPr>
          <w:rFonts w:ascii="Times New Roman" w:hAnsi="Times New Roman" w:cs="Times New Roman" w:eastAsiaTheme="minorEastAsia"/>
          <w:snapToGrid/>
          <w:color w:val="auto"/>
          <w:kern w:val="2"/>
          <w:sz w:val="24"/>
          <w:szCs w:val="24"/>
          <w:lang w:eastAsia="zh-CN"/>
        </w:rPr>
      </w:pPr>
      <w:r>
        <w:rPr>
          <w:rFonts w:ascii="Times New Roman" w:hAnsi="Times New Roman" w:cs="Times New Roman" w:eastAsiaTheme="minorEastAsia"/>
          <w:snapToGrid/>
          <w:color w:val="auto"/>
          <w:kern w:val="2"/>
          <w:sz w:val="24"/>
          <w:szCs w:val="24"/>
          <w:lang w:eastAsia="zh-CN"/>
        </w:rPr>
        <w:t>为贯彻落实国务院《深化标准化工作改革方案》的要求，推动粮油食品领域团体标准的发展和壮大，根据《中国粮油学会团体标准管理办法(试行)》相关规定和《中国粮油学会关于开展2022年度第一批团体标准征集工作的通知》由河南工业大学牵头向中国粮油学会申报制订《粮食中总淀粉含量的测定-双酶法》团体标准经中国粮油学会评审同意立项。根据中国粮油学会(中粮油学发(2022)6</w:t>
      </w:r>
      <w:r>
        <w:rPr>
          <w:rFonts w:hint="eastAsia" w:ascii="Times New Roman" w:hAnsi="Times New Roman" w:cs="Times New Roman" w:eastAsiaTheme="minorEastAsia"/>
          <w:snapToGrid/>
          <w:color w:val="auto"/>
          <w:kern w:val="2"/>
          <w:sz w:val="24"/>
          <w:szCs w:val="24"/>
          <w:lang w:eastAsia="zh-CN"/>
        </w:rPr>
        <w:t>1</w:t>
      </w:r>
      <w:r>
        <w:rPr>
          <w:rFonts w:ascii="Times New Roman" w:hAnsi="Times New Roman" w:cs="Times New Roman" w:eastAsiaTheme="minorEastAsia"/>
          <w:snapToGrid/>
          <w:color w:val="auto"/>
          <w:kern w:val="2"/>
          <w:sz w:val="24"/>
          <w:szCs w:val="24"/>
          <w:lang w:eastAsia="zh-CN"/>
        </w:rPr>
        <w:t>号)《关于发布中国粮油学会2022年第一批团体标准立项公告的通知》中附件1(中国粮油学会第一批团体标准立项名单)的要求，本标准的编制工作由河南工业大学联合河南华测检测技术有限公司、中原食品实验室、河南飞天农业开发股份有限公司、郸城县正星粉业有限公司共同完成。</w:t>
      </w:r>
    </w:p>
    <w:p w14:paraId="444606E4">
      <w:pPr>
        <w:widowControl w:val="0"/>
        <w:kinsoku/>
        <w:autoSpaceDE/>
        <w:autoSpaceDN/>
        <w:spacing w:line="500" w:lineRule="exact"/>
        <w:ind w:firstLine="560" w:firstLineChars="200"/>
        <w:jc w:val="both"/>
        <w:textAlignment w:val="auto"/>
        <w:rPr>
          <w:rFonts w:ascii="Times New Roman" w:hAnsi="Times New Roman" w:eastAsia="仿宋_GB2312" w:cs="Times New Roman"/>
          <w:color w:val="auto"/>
          <w:sz w:val="28"/>
          <w:szCs w:val="28"/>
          <w:lang w:eastAsia="zh-CN"/>
        </w:rPr>
      </w:pPr>
      <w:r>
        <w:rPr>
          <w:rFonts w:ascii="Times New Roman" w:hAnsi="Times New Roman" w:eastAsia="仿宋_GB2312" w:cs="Times New Roman"/>
          <w:color w:val="auto"/>
          <w:sz w:val="28"/>
          <w:szCs w:val="28"/>
          <w:lang w:eastAsia="zh-CN"/>
        </w:rPr>
        <w:t>1.1.2 标准计划项目调整（如有，请写明申请调整的具体内容、理由和依据等）</w:t>
      </w:r>
    </w:p>
    <w:p w14:paraId="4D8326AE">
      <w:pPr>
        <w:widowControl w:val="0"/>
        <w:kinsoku/>
        <w:autoSpaceDE/>
        <w:autoSpaceDN/>
        <w:spacing w:line="500" w:lineRule="exact"/>
        <w:ind w:firstLine="480" w:firstLineChars="200"/>
        <w:jc w:val="both"/>
        <w:textAlignment w:val="auto"/>
        <w:rPr>
          <w:rFonts w:ascii="Times New Roman" w:hAnsi="Times New Roman" w:cs="Times New Roman" w:eastAsiaTheme="minorEastAsia"/>
          <w:snapToGrid/>
          <w:color w:val="auto"/>
          <w:kern w:val="2"/>
          <w:sz w:val="24"/>
          <w:szCs w:val="24"/>
          <w:lang w:eastAsia="zh-CN"/>
        </w:rPr>
      </w:pPr>
      <w:r>
        <w:rPr>
          <w:rFonts w:ascii="Times New Roman" w:hAnsi="Times New Roman" w:cs="Times New Roman" w:eastAsiaTheme="minorEastAsia"/>
          <w:snapToGrid/>
          <w:color w:val="auto"/>
          <w:kern w:val="2"/>
          <w:sz w:val="24"/>
          <w:szCs w:val="24"/>
          <w:lang w:eastAsia="zh-CN"/>
        </w:rPr>
        <w:t>该团体标准由于样品收集数量较多，测定对比工作量远超预期，需要对原定标准起草计划进行修改，修改后的计划如1.3部分所示。</w:t>
      </w:r>
    </w:p>
    <w:p w14:paraId="3B6FB07C">
      <w:pPr>
        <w:widowControl w:val="0"/>
        <w:kinsoku/>
        <w:autoSpaceDE/>
        <w:autoSpaceDN/>
        <w:spacing w:line="500" w:lineRule="exact"/>
        <w:ind w:firstLine="560" w:firstLineChars="200"/>
        <w:jc w:val="both"/>
        <w:textAlignment w:val="auto"/>
        <w:rPr>
          <w:rFonts w:ascii="Times New Roman" w:hAnsi="Times New Roman" w:eastAsia="仿宋_GB2312" w:cs="Times New Roman"/>
          <w:sz w:val="28"/>
          <w:szCs w:val="28"/>
          <w:lang w:eastAsia="zh-CN"/>
        </w:rPr>
      </w:pPr>
      <w:r>
        <w:rPr>
          <w:rFonts w:ascii="Times New Roman" w:hAnsi="Times New Roman" w:eastAsia="仿宋_GB2312" w:cs="Times New Roman"/>
          <w:sz w:val="28"/>
          <w:szCs w:val="28"/>
          <w:lang w:eastAsia="zh-CN"/>
        </w:rPr>
        <w:t>1.1.3 标准制修订的背景、必要性和重要意义</w:t>
      </w:r>
    </w:p>
    <w:p w14:paraId="46D265A1">
      <w:pPr>
        <w:pStyle w:val="9"/>
        <w:spacing w:line="360" w:lineRule="auto"/>
        <w:ind w:firstLine="484" w:firstLineChars="202"/>
        <w:rPr>
          <w:rFonts w:ascii="Times New Roman" w:hAnsi="Times New Roman" w:cs="Times New Roman"/>
          <w:sz w:val="24"/>
          <w:szCs w:val="24"/>
        </w:rPr>
      </w:pPr>
      <w:r>
        <w:rPr>
          <w:rFonts w:ascii="Times New Roman" w:hAnsi="Times New Roman" w:cs="Times New Roman"/>
          <w:sz w:val="24"/>
          <w:szCs w:val="24"/>
        </w:rPr>
        <w:t>淀粉的含量是衡量粮食质量品质及其应用的一个重要指标，也是淀粉工业原料定等的关键指标。改进淀粉含量检测技术，将有助于提升其检验水平，提高淀粉加工品质。另外，淀粉含量的准确测定对于粮油品质分析具有重要的意义。因而，如何快速准确地测定粮食中淀粉的含量，对提高粮食的经济价值和食用品质，合理利用粮食及其副产品资源、发挥其最大的资源效益均具有十分重要的意义，对于国家的粮食发展战略也有一定的影响。</w:t>
      </w:r>
    </w:p>
    <w:p w14:paraId="1091B080">
      <w:pPr>
        <w:pStyle w:val="9"/>
        <w:spacing w:line="360" w:lineRule="auto"/>
        <w:ind w:firstLine="484" w:firstLineChars="202"/>
        <w:rPr>
          <w:rFonts w:ascii="Times New Roman" w:hAnsi="Times New Roman" w:cs="Times New Roman"/>
          <w:sz w:val="24"/>
          <w:szCs w:val="24"/>
        </w:rPr>
      </w:pPr>
      <w:r>
        <w:rPr>
          <w:rFonts w:ascii="Times New Roman" w:hAnsi="Times New Roman" w:cs="Times New Roman"/>
          <w:sz w:val="24"/>
          <w:szCs w:val="24"/>
        </w:rPr>
        <w:t>目前国内外学者已经建立了很多淀粉含量的测定方法，如滴定法、旋光法、比色法、葡萄糖氧化酶法、酶电极法等。通常采用的国标法是先用α-淀粉酶将淀粉水解成双糖，再用盐酸将双糖水解为葡萄糖，但存在半纤维素等物质的干扰，有一定的系统误差，而且操作较复杂费时。而在淀粉分析的非酶法中，酸法或酸酶法耗时长，操作繁琐，效率较低，选择性和准确性不及酶法；旋光法操作虽然简便快速、重现性好，但其操作也比较繁琐，而且这两种方法更适合于纯淀粉样品，而不适用于谷物或淀粉含量稍低的样品；DNS比色法应用也比较广泛，准确度高，但此法对实验操作要求较高。国际上广泛应用的淀粉含量测定方法是AACC 76-13.01方法，该方法被认为是最准确的测定方法，但由于其使用的Megazyme试剂盒的价格相对高昂，难以推广普及。</w:t>
      </w:r>
    </w:p>
    <w:p w14:paraId="402CDE44">
      <w:pPr>
        <w:pStyle w:val="9"/>
        <w:spacing w:line="360" w:lineRule="auto"/>
        <w:ind w:firstLine="484" w:firstLineChars="202"/>
        <w:rPr>
          <w:rFonts w:ascii="Times New Roman" w:hAnsi="Times New Roman" w:cs="Times New Roman"/>
          <w:sz w:val="24"/>
          <w:szCs w:val="24"/>
        </w:rPr>
      </w:pPr>
      <w:r>
        <w:rPr>
          <w:rFonts w:ascii="Times New Roman" w:hAnsi="Times New Roman" w:cs="Times New Roman"/>
          <w:sz w:val="24"/>
          <w:szCs w:val="24"/>
        </w:rPr>
        <w:t>目前国内通过采用《GB/T 5006-1985谷物籽粒粗淀粉测定法》、《GB/T 5514-2008 粮油检验 粮食、油料中淀粉含量测定》测定总淀粉含量，国外利用AACC 76-13.01测定总淀粉含量。对于GB/T 5006-1985而言，尽管所需试剂种类较少，但在测定过程中采用油浴以维持120℃的稳定温度，需要将大量的甘油加入到油浴锅中，严重浪费试剂。相对于GB/T 5006-1985和AACC 76-13.01，GB/T 5514-2008采用酶酸法，其安全性不高，如盐酸水解双糖为单糖的过程中需要沸水浴中回流1 h，而最后的滴定过程也是在沸腾状态下进行，这些步骤均存在安全隐患，且受pH和其他滴定条件的影响。在麦芽糖、糊精等水解为葡萄糖的过程中，浓度较高的盐酸可能会将样品中的半纤维素等非淀粉多糖水解为还原糖，导致GB/T 5514-2008测定结果偏高。AACC 76-13.01的测定效率最高，操作最简单，测定成本亦最高，由于使用了较多的仪器，减少了许多不确定因素的干扰。AACC 76-13.01利用的Megazyme总淀粉试剂盒，Megazyme公司提供的总淀粉分析试剂盒方法是基于耐高温α-淀粉酶和淀粉葡萄糖苷酶这两种专一性高效酶制剂。然而Megazyme总淀粉含量试剂盒价格昂贵，且测定次数有限，因此测定成本过高。本标准利用诺维信中国有限公司提供的耐高温α-淀粉酶和淀粉葡萄糖苷酶，其成本得到了极大的降低。</w:t>
      </w:r>
    </w:p>
    <w:p w14:paraId="1457A049">
      <w:pPr>
        <w:pStyle w:val="9"/>
        <w:spacing w:line="360" w:lineRule="auto"/>
        <w:ind w:firstLine="484" w:firstLineChars="202"/>
        <w:rPr>
          <w:rFonts w:ascii="Times New Roman" w:hAnsi="Times New Roman" w:cs="Times New Roman"/>
          <w:sz w:val="24"/>
          <w:szCs w:val="24"/>
        </w:rPr>
      </w:pPr>
      <w:r>
        <w:rPr>
          <w:rFonts w:ascii="Times New Roman" w:hAnsi="Times New Roman" w:cs="Times New Roman"/>
          <w:sz w:val="24"/>
          <w:szCs w:val="24"/>
        </w:rPr>
        <w:t>尽管国内外的淀粉含量的测定方法比较多，然而所用的试剂盒价格普遍昂贵且测定所耗费时间较长。本标准的制定能够快速测定淀粉含量，为企业生产规范化提供指导。</w:t>
      </w:r>
    </w:p>
    <w:p w14:paraId="00ACD23C">
      <w:pPr>
        <w:widowControl w:val="0"/>
        <w:kinsoku/>
        <w:autoSpaceDE/>
        <w:autoSpaceDN/>
        <w:spacing w:line="500" w:lineRule="exact"/>
        <w:ind w:firstLine="562" w:firstLineChars="200"/>
        <w:jc w:val="both"/>
        <w:textAlignment w:val="auto"/>
        <w:rPr>
          <w:rFonts w:ascii="Times New Roman" w:hAnsi="Times New Roman" w:eastAsia="仿宋_GB2312" w:cs="Times New Roman"/>
          <w:bCs/>
          <w:sz w:val="28"/>
          <w:szCs w:val="28"/>
          <w:lang w:eastAsia="zh-CN"/>
        </w:rPr>
      </w:pPr>
      <w:r>
        <w:rPr>
          <w:rFonts w:ascii="Times New Roman" w:hAnsi="Times New Roman" w:eastAsia="仿宋_GB2312" w:cs="Times New Roman"/>
          <w:b/>
          <w:sz w:val="28"/>
          <w:szCs w:val="28"/>
          <w:lang w:eastAsia="zh-CN"/>
        </w:rPr>
        <w:t>1.2 协作单位</w:t>
      </w:r>
      <w:r>
        <w:rPr>
          <w:rFonts w:ascii="Times New Roman" w:hAnsi="Times New Roman" w:eastAsia="仿宋_GB2312" w:cs="Times New Roman"/>
          <w:bCs/>
          <w:sz w:val="28"/>
          <w:szCs w:val="28"/>
          <w:u w:val="single"/>
          <w:lang w:eastAsia="zh-CN"/>
        </w:rPr>
        <w:t>（除第一起草单位外的其他起草单位）</w:t>
      </w:r>
    </w:p>
    <w:p w14:paraId="010A06BE">
      <w:pPr>
        <w:widowControl w:val="0"/>
        <w:kinsoku/>
        <w:autoSpaceDE/>
        <w:autoSpaceDN/>
        <w:spacing w:line="500" w:lineRule="exact"/>
        <w:ind w:firstLine="480" w:firstLineChars="200"/>
        <w:jc w:val="both"/>
        <w:textAlignment w:val="auto"/>
        <w:rPr>
          <w:rFonts w:ascii="Times New Roman" w:hAnsi="Times New Roman" w:cs="Times New Roman" w:eastAsiaTheme="minorEastAsia"/>
          <w:snapToGrid/>
          <w:color w:val="auto"/>
          <w:kern w:val="2"/>
          <w:sz w:val="24"/>
          <w:szCs w:val="24"/>
          <w:lang w:eastAsia="zh-CN"/>
        </w:rPr>
      </w:pPr>
      <w:r>
        <w:rPr>
          <w:rFonts w:ascii="Times New Roman" w:hAnsi="Times New Roman" w:cs="Times New Roman" w:eastAsiaTheme="minorEastAsia"/>
          <w:snapToGrid/>
          <w:color w:val="auto"/>
          <w:kern w:val="2"/>
          <w:sz w:val="24"/>
          <w:szCs w:val="24"/>
          <w:lang w:eastAsia="zh-CN"/>
        </w:rPr>
        <w:t>本文件协作单位：河南华测检测技术有限公司、中原食品实验室、河南飞天农业开发股份有限公司、郸城县正星粉业有限公司。</w:t>
      </w:r>
    </w:p>
    <w:p w14:paraId="78B14A50">
      <w:pPr>
        <w:widowControl w:val="0"/>
        <w:kinsoku/>
        <w:autoSpaceDE/>
        <w:autoSpaceDN/>
        <w:spacing w:line="500" w:lineRule="exact"/>
        <w:ind w:firstLine="562" w:firstLineChars="200"/>
        <w:jc w:val="both"/>
        <w:textAlignment w:val="auto"/>
        <w:rPr>
          <w:rFonts w:ascii="Times New Roman" w:hAnsi="Times New Roman" w:eastAsia="仿宋_GB2312" w:cs="Times New Roman"/>
          <w:bCs/>
          <w:color w:val="auto"/>
          <w:sz w:val="28"/>
          <w:szCs w:val="28"/>
          <w:lang w:eastAsia="zh-CN"/>
        </w:rPr>
      </w:pPr>
      <w:r>
        <w:rPr>
          <w:rFonts w:ascii="Times New Roman" w:hAnsi="Times New Roman" w:eastAsia="仿宋_GB2312" w:cs="Times New Roman"/>
          <w:b/>
          <w:color w:val="auto"/>
          <w:sz w:val="28"/>
          <w:szCs w:val="28"/>
          <w:lang w:eastAsia="zh-CN"/>
        </w:rPr>
        <w:t>1.3 主要工作过程</w:t>
      </w:r>
      <w:r>
        <w:rPr>
          <w:rFonts w:ascii="Times New Roman" w:hAnsi="Times New Roman" w:eastAsia="仿宋_GB2312" w:cs="Times New Roman"/>
          <w:bCs/>
          <w:color w:val="auto"/>
          <w:sz w:val="28"/>
          <w:szCs w:val="28"/>
          <w:u w:val="single"/>
          <w:lang w:eastAsia="zh-CN"/>
        </w:rPr>
        <w:t>（应包括标准起草阶段、征求意见阶段、审查阶段、报批阶段等）</w:t>
      </w:r>
    </w:p>
    <w:p w14:paraId="447CD99B">
      <w:pPr>
        <w:widowControl w:val="0"/>
        <w:kinsoku/>
        <w:autoSpaceDE/>
        <w:autoSpaceDN/>
        <w:spacing w:line="500" w:lineRule="exact"/>
        <w:ind w:firstLine="480" w:firstLineChars="200"/>
        <w:jc w:val="both"/>
        <w:textAlignment w:val="auto"/>
        <w:rPr>
          <w:rFonts w:ascii="Times New Roman" w:hAnsi="Times New Roman" w:cs="Times New Roman" w:eastAsiaTheme="minorEastAsia"/>
          <w:snapToGrid/>
          <w:color w:val="auto"/>
          <w:kern w:val="2"/>
          <w:sz w:val="24"/>
          <w:szCs w:val="24"/>
          <w:lang w:eastAsia="zh-CN"/>
        </w:rPr>
      </w:pPr>
      <w:r>
        <w:rPr>
          <w:rFonts w:ascii="Times New Roman" w:hAnsi="Times New Roman" w:cs="Times New Roman" w:eastAsiaTheme="minorEastAsia"/>
          <w:snapToGrid/>
          <w:color w:val="auto"/>
          <w:kern w:val="2"/>
          <w:sz w:val="24"/>
          <w:szCs w:val="24"/>
          <w:lang w:eastAsia="zh-CN"/>
        </w:rPr>
        <w:t>2022年09月，成立标准起草组，有河南工业大学牵头起草标准；</w:t>
      </w:r>
    </w:p>
    <w:p w14:paraId="04B4E841">
      <w:pPr>
        <w:widowControl w:val="0"/>
        <w:kinsoku/>
        <w:autoSpaceDE/>
        <w:autoSpaceDN/>
        <w:spacing w:line="500" w:lineRule="exact"/>
        <w:ind w:firstLine="480" w:firstLineChars="200"/>
        <w:jc w:val="both"/>
        <w:textAlignment w:val="auto"/>
        <w:rPr>
          <w:rFonts w:ascii="Times New Roman" w:hAnsi="Times New Roman" w:cs="Times New Roman" w:eastAsiaTheme="minorEastAsia"/>
          <w:snapToGrid/>
          <w:color w:val="auto"/>
          <w:kern w:val="2"/>
          <w:sz w:val="24"/>
          <w:szCs w:val="24"/>
          <w:lang w:eastAsia="zh-CN"/>
        </w:rPr>
      </w:pPr>
      <w:r>
        <w:rPr>
          <w:rFonts w:ascii="Times New Roman" w:hAnsi="Times New Roman" w:cs="Times New Roman" w:eastAsiaTheme="minorEastAsia"/>
          <w:snapToGrid/>
          <w:color w:val="auto"/>
          <w:kern w:val="2"/>
          <w:sz w:val="24"/>
          <w:szCs w:val="24"/>
          <w:lang w:eastAsia="zh-CN"/>
        </w:rPr>
        <w:t>2026年3月—2026年5月，完成标准征求意见稿，同时完成标准编制说明；</w:t>
      </w:r>
    </w:p>
    <w:p w14:paraId="2B3EAA08">
      <w:pPr>
        <w:widowControl w:val="0"/>
        <w:kinsoku/>
        <w:autoSpaceDE/>
        <w:autoSpaceDN/>
        <w:spacing w:line="500" w:lineRule="exact"/>
        <w:ind w:firstLine="480" w:firstLineChars="200"/>
        <w:jc w:val="both"/>
        <w:textAlignment w:val="auto"/>
        <w:rPr>
          <w:rFonts w:ascii="Times New Roman" w:hAnsi="Times New Roman" w:cs="Times New Roman" w:eastAsiaTheme="minorEastAsia"/>
          <w:snapToGrid/>
          <w:color w:val="auto"/>
          <w:kern w:val="2"/>
          <w:sz w:val="24"/>
          <w:szCs w:val="24"/>
          <w:lang w:eastAsia="zh-CN"/>
        </w:rPr>
      </w:pPr>
      <w:r>
        <w:rPr>
          <w:rFonts w:ascii="Times New Roman" w:hAnsi="Times New Roman" w:cs="Times New Roman" w:eastAsiaTheme="minorEastAsia"/>
          <w:snapToGrid/>
          <w:color w:val="auto"/>
          <w:kern w:val="2"/>
          <w:sz w:val="24"/>
          <w:szCs w:val="24"/>
          <w:lang w:eastAsia="zh-CN"/>
        </w:rPr>
        <w:t>2026年5月—2026年7月，向社会公开征求意见；</w:t>
      </w:r>
    </w:p>
    <w:p w14:paraId="1E0DB306">
      <w:pPr>
        <w:widowControl w:val="0"/>
        <w:kinsoku/>
        <w:autoSpaceDE/>
        <w:autoSpaceDN/>
        <w:spacing w:line="500" w:lineRule="exact"/>
        <w:ind w:firstLine="480" w:firstLineChars="200"/>
        <w:jc w:val="both"/>
        <w:textAlignment w:val="auto"/>
        <w:rPr>
          <w:rFonts w:ascii="Times New Roman" w:hAnsi="Times New Roman" w:cs="Times New Roman" w:eastAsiaTheme="minorEastAsia"/>
          <w:snapToGrid/>
          <w:color w:val="auto"/>
          <w:kern w:val="2"/>
          <w:sz w:val="24"/>
          <w:szCs w:val="24"/>
          <w:lang w:eastAsia="zh-CN"/>
        </w:rPr>
      </w:pPr>
      <w:r>
        <w:rPr>
          <w:rFonts w:ascii="Times New Roman" w:hAnsi="Times New Roman" w:cs="Times New Roman" w:eastAsiaTheme="minorEastAsia"/>
          <w:snapToGrid/>
          <w:color w:val="auto"/>
          <w:kern w:val="2"/>
          <w:sz w:val="24"/>
          <w:szCs w:val="24"/>
          <w:lang w:eastAsia="zh-CN"/>
        </w:rPr>
        <w:t>2026年7月—2026年9月，根据“标准征求意见汇总处理表”，《粮食中总淀粉含量的测定-双酶法》团体标准完成标准送审稿；</w:t>
      </w:r>
    </w:p>
    <w:p w14:paraId="0E99B6EA">
      <w:pPr>
        <w:widowControl w:val="0"/>
        <w:kinsoku/>
        <w:autoSpaceDE/>
        <w:autoSpaceDN/>
        <w:spacing w:line="500" w:lineRule="exact"/>
        <w:ind w:firstLine="480" w:firstLineChars="200"/>
        <w:jc w:val="both"/>
        <w:textAlignment w:val="auto"/>
        <w:rPr>
          <w:rFonts w:ascii="Times New Roman" w:hAnsi="Times New Roman" w:cs="Times New Roman" w:eastAsiaTheme="minorEastAsia"/>
          <w:snapToGrid/>
          <w:color w:val="auto"/>
          <w:kern w:val="2"/>
          <w:sz w:val="24"/>
          <w:szCs w:val="24"/>
          <w:lang w:eastAsia="zh-CN"/>
        </w:rPr>
      </w:pPr>
      <w:r>
        <w:rPr>
          <w:rFonts w:ascii="Times New Roman" w:hAnsi="Times New Roman" w:cs="Times New Roman" w:eastAsiaTheme="minorEastAsia"/>
          <w:snapToGrid/>
          <w:color w:val="auto"/>
          <w:kern w:val="2"/>
          <w:sz w:val="24"/>
          <w:szCs w:val="24"/>
          <w:lang w:eastAsia="zh-CN"/>
        </w:rPr>
        <w:t>2026年10月—2026年12月，根据审查会要求，《粮食中总淀粉含量的测定-双酶法》团体标准最终完成报批稿。</w:t>
      </w:r>
    </w:p>
    <w:p w14:paraId="3A0AD84B">
      <w:pPr>
        <w:widowControl w:val="0"/>
        <w:kinsoku/>
        <w:autoSpaceDE/>
        <w:autoSpaceDN/>
        <w:spacing w:line="500" w:lineRule="exact"/>
        <w:ind w:firstLine="562" w:firstLineChars="200"/>
        <w:jc w:val="both"/>
        <w:textAlignment w:val="auto"/>
        <w:rPr>
          <w:rFonts w:ascii="Times New Roman" w:hAnsi="Times New Roman" w:eastAsia="仿宋_GB2312" w:cs="Times New Roman"/>
          <w:b/>
          <w:sz w:val="28"/>
          <w:szCs w:val="28"/>
          <w:lang w:eastAsia="zh-CN"/>
        </w:rPr>
      </w:pPr>
      <w:r>
        <w:rPr>
          <w:rFonts w:ascii="Times New Roman" w:hAnsi="Times New Roman" w:eastAsia="仿宋_GB2312" w:cs="Times New Roman"/>
          <w:b/>
          <w:sz w:val="28"/>
          <w:szCs w:val="28"/>
          <w:lang w:eastAsia="zh-CN"/>
        </w:rPr>
        <w:t>1.4 标准主要起草人及其所做的工作等</w:t>
      </w:r>
    </w:p>
    <w:p w14:paraId="4D18924E">
      <w:pPr>
        <w:pStyle w:val="9"/>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（1）起草人员名单：</w:t>
      </w:r>
    </w:p>
    <w:p w14:paraId="42B1AB1A">
      <w:pPr>
        <w:pStyle w:val="9"/>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赵仁勇、田双起、王新伟、</w:t>
      </w:r>
      <w:r>
        <w:rPr>
          <w:rFonts w:hint="eastAsia" w:ascii="Times New Roman" w:hAnsi="Times New Roman" w:cs="Times New Roman"/>
          <w:sz w:val="24"/>
          <w:szCs w:val="24"/>
          <w:lang w:val="en-US" w:eastAsia="zh-CN"/>
        </w:rPr>
        <w:t>刘战朋、</w:t>
      </w:r>
      <w:r>
        <w:rPr>
          <w:rFonts w:ascii="Times New Roman" w:hAnsi="Times New Roman" w:cs="Times New Roman"/>
          <w:sz w:val="24"/>
          <w:szCs w:val="24"/>
        </w:rPr>
        <w:t>蒋洪新、秦学磊、谭斌、董得平、朱合章。</w:t>
      </w:r>
    </w:p>
    <w:p w14:paraId="34FDEC72">
      <w:pPr>
        <w:pStyle w:val="11"/>
        <w:numPr>
          <w:ilvl w:val="0"/>
          <w:numId w:val="1"/>
        </w:numPr>
        <w:shd w:val="clear" w:color="auto" w:fill="FFFFFF"/>
        <w:spacing w:line="360" w:lineRule="auto"/>
        <w:ind w:left="720" w:hanging="720"/>
        <w:jc w:val="left"/>
        <w:rPr>
          <w:rFonts w:ascii="Times New Roman" w:hAnsi="Times New Roman" w:eastAsiaTheme="minorEastAsia"/>
          <w:sz w:val="24"/>
          <w:szCs w:val="24"/>
        </w:rPr>
      </w:pPr>
      <w:r>
        <w:rPr>
          <w:rFonts w:ascii="Times New Roman" w:hAnsi="Times New Roman" w:eastAsiaTheme="minorEastAsia"/>
          <w:sz w:val="24"/>
          <w:szCs w:val="24"/>
        </w:rPr>
        <w:t xml:space="preserve">   （2）起草人员的信息及分工</w:t>
      </w:r>
      <w:r>
        <w:rPr>
          <w:rFonts w:hint="eastAsia" w:ascii="Times New Roman" w:hAnsi="Times New Roman" w:eastAsiaTheme="minorEastAsia"/>
          <w:sz w:val="24"/>
          <w:szCs w:val="24"/>
          <w:lang w:val="en-US" w:eastAsia="zh-CN"/>
        </w:rPr>
        <w:t xml:space="preserve"> </w:t>
      </w:r>
    </w:p>
    <w:tbl>
      <w:tblPr>
        <w:tblStyle w:val="4"/>
        <w:tblW w:w="476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7"/>
        <w:gridCol w:w="1936"/>
        <w:gridCol w:w="1060"/>
        <w:gridCol w:w="1483"/>
        <w:gridCol w:w="1519"/>
        <w:gridCol w:w="2213"/>
      </w:tblGrid>
      <w:tr w14:paraId="24C4F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1" w:hRule="atLeast"/>
          <w:jc w:val="center"/>
        </w:trPr>
        <w:tc>
          <w:tcPr>
            <w:tcW w:w="247" w:type="pct"/>
            <w:tcBorders>
              <w:top w:val="single" w:color="auto" w:sz="4" w:space="0"/>
              <w:left w:val="single" w:color="auto" w:sz="4" w:space="0"/>
              <w:bottom w:val="single" w:color="auto" w:sz="4" w:space="0"/>
              <w:right w:val="single" w:color="auto" w:sz="4" w:space="0"/>
            </w:tcBorders>
            <w:vAlign w:val="center"/>
          </w:tcPr>
          <w:p w14:paraId="0C64AFC1">
            <w:pPr>
              <w:jc w:val="center"/>
              <w:rPr>
                <w:rFonts w:ascii="Times New Roman" w:hAnsi="Times New Roman" w:cs="Times New Roman"/>
                <w:b/>
              </w:rPr>
            </w:pPr>
            <w:r>
              <w:rPr>
                <w:rFonts w:hint="eastAsia" w:ascii="宋体" w:hAnsi="宋体" w:eastAsia="宋体" w:cs="宋体"/>
                <w:b/>
              </w:rPr>
              <w:t>序号</w:t>
            </w:r>
          </w:p>
        </w:tc>
        <w:tc>
          <w:tcPr>
            <w:tcW w:w="1120" w:type="pct"/>
            <w:tcBorders>
              <w:top w:val="single" w:color="auto" w:sz="4" w:space="0"/>
              <w:left w:val="single" w:color="auto" w:sz="4" w:space="0"/>
              <w:bottom w:val="single" w:color="auto" w:sz="4" w:space="0"/>
              <w:right w:val="single" w:color="auto" w:sz="4" w:space="0"/>
            </w:tcBorders>
            <w:vAlign w:val="center"/>
          </w:tcPr>
          <w:p w14:paraId="0DB72687">
            <w:pPr>
              <w:jc w:val="center"/>
              <w:rPr>
                <w:rFonts w:ascii="Times New Roman" w:hAnsi="Times New Roman" w:cs="Times New Roman"/>
                <w:b/>
              </w:rPr>
            </w:pPr>
            <w:r>
              <w:rPr>
                <w:rFonts w:hint="eastAsia" w:ascii="宋体" w:hAnsi="宋体" w:eastAsia="宋体" w:cs="宋体"/>
                <w:b/>
              </w:rPr>
              <w:t>姓名</w:t>
            </w:r>
          </w:p>
        </w:tc>
        <w:tc>
          <w:tcPr>
            <w:tcW w:w="613" w:type="pct"/>
            <w:tcBorders>
              <w:top w:val="single" w:color="auto" w:sz="4" w:space="0"/>
              <w:left w:val="single" w:color="auto" w:sz="4" w:space="0"/>
              <w:bottom w:val="single" w:color="auto" w:sz="4" w:space="0"/>
              <w:right w:val="single" w:color="auto" w:sz="4" w:space="0"/>
            </w:tcBorders>
            <w:vAlign w:val="center"/>
          </w:tcPr>
          <w:p w14:paraId="464DD159">
            <w:pPr>
              <w:jc w:val="center"/>
              <w:rPr>
                <w:rFonts w:ascii="Times New Roman" w:hAnsi="Times New Roman" w:cs="Times New Roman"/>
                <w:b/>
              </w:rPr>
            </w:pPr>
            <w:r>
              <w:rPr>
                <w:rFonts w:hint="eastAsia" w:ascii="宋体" w:hAnsi="宋体" w:eastAsia="宋体" w:cs="宋体"/>
                <w:b/>
              </w:rPr>
              <w:t>单位</w:t>
            </w:r>
          </w:p>
        </w:tc>
        <w:tc>
          <w:tcPr>
            <w:tcW w:w="858" w:type="pct"/>
            <w:tcBorders>
              <w:top w:val="single" w:color="auto" w:sz="4" w:space="0"/>
              <w:left w:val="single" w:color="auto" w:sz="4" w:space="0"/>
              <w:bottom w:val="single" w:color="auto" w:sz="4" w:space="0"/>
              <w:right w:val="single" w:color="auto" w:sz="4" w:space="0"/>
            </w:tcBorders>
            <w:vAlign w:val="center"/>
          </w:tcPr>
          <w:p w14:paraId="32652809">
            <w:pPr>
              <w:jc w:val="center"/>
              <w:rPr>
                <w:rFonts w:ascii="Times New Roman" w:hAnsi="Times New Roman" w:cs="Times New Roman"/>
                <w:b/>
              </w:rPr>
            </w:pPr>
            <w:r>
              <w:rPr>
                <w:rFonts w:hint="eastAsia" w:ascii="宋体" w:hAnsi="宋体" w:eastAsia="宋体" w:cs="宋体"/>
                <w:b/>
              </w:rPr>
              <w:t>职务</w:t>
            </w:r>
            <w:r>
              <w:rPr>
                <w:rFonts w:ascii="Times New Roman" w:hAnsi="Times New Roman" w:cs="Times New Roman"/>
                <w:b/>
              </w:rPr>
              <w:t>/</w:t>
            </w:r>
            <w:r>
              <w:rPr>
                <w:rFonts w:hint="eastAsia" w:ascii="宋体" w:hAnsi="宋体" w:eastAsia="宋体" w:cs="宋体"/>
                <w:b/>
              </w:rPr>
              <w:t>职称</w:t>
            </w:r>
          </w:p>
        </w:tc>
        <w:tc>
          <w:tcPr>
            <w:tcW w:w="879" w:type="pct"/>
            <w:tcBorders>
              <w:top w:val="single" w:color="auto" w:sz="4" w:space="0"/>
              <w:left w:val="single" w:color="auto" w:sz="4" w:space="0"/>
              <w:bottom w:val="single" w:color="auto" w:sz="4" w:space="0"/>
              <w:right w:val="single" w:color="auto" w:sz="4" w:space="0"/>
            </w:tcBorders>
            <w:vAlign w:val="center"/>
          </w:tcPr>
          <w:p w14:paraId="6DBDBFE7">
            <w:pPr>
              <w:jc w:val="center"/>
              <w:rPr>
                <w:rFonts w:ascii="Times New Roman" w:hAnsi="Times New Roman" w:cs="Times New Roman"/>
                <w:b/>
              </w:rPr>
            </w:pPr>
            <w:r>
              <w:rPr>
                <w:rFonts w:hint="eastAsia" w:ascii="宋体" w:hAnsi="宋体" w:eastAsia="宋体" w:cs="宋体"/>
                <w:b/>
              </w:rPr>
              <w:t>联系</w:t>
            </w:r>
          </w:p>
          <w:p w14:paraId="2377EA92">
            <w:pPr>
              <w:jc w:val="center"/>
              <w:rPr>
                <w:rFonts w:ascii="Times New Roman" w:hAnsi="Times New Roman" w:cs="Times New Roman"/>
                <w:b/>
              </w:rPr>
            </w:pPr>
            <w:r>
              <w:rPr>
                <w:rFonts w:hint="eastAsia" w:ascii="宋体" w:hAnsi="宋体" w:eastAsia="宋体" w:cs="宋体"/>
                <w:b/>
              </w:rPr>
              <w:t>方式</w:t>
            </w:r>
          </w:p>
        </w:tc>
        <w:tc>
          <w:tcPr>
            <w:tcW w:w="1280" w:type="pct"/>
            <w:tcBorders>
              <w:top w:val="single" w:color="auto" w:sz="4" w:space="0"/>
              <w:left w:val="single" w:color="auto" w:sz="4" w:space="0"/>
              <w:bottom w:val="single" w:color="auto" w:sz="4" w:space="0"/>
              <w:right w:val="single" w:color="auto" w:sz="4" w:space="0"/>
            </w:tcBorders>
            <w:vAlign w:val="center"/>
          </w:tcPr>
          <w:p w14:paraId="4A6E9B03">
            <w:pPr>
              <w:jc w:val="center"/>
              <w:rPr>
                <w:rFonts w:ascii="Times New Roman" w:hAnsi="Times New Roman" w:cs="Times New Roman"/>
                <w:b/>
                <w:lang w:eastAsia="zh-CN"/>
              </w:rPr>
            </w:pPr>
            <w:r>
              <w:rPr>
                <w:rFonts w:hint="eastAsia" w:ascii="宋体" w:hAnsi="宋体" w:eastAsia="宋体" w:cs="宋体"/>
                <w:b/>
                <w:lang w:eastAsia="zh-CN"/>
              </w:rPr>
              <w:t>分工</w:t>
            </w:r>
          </w:p>
          <w:p w14:paraId="103D8FDE">
            <w:pPr>
              <w:jc w:val="center"/>
              <w:rPr>
                <w:rFonts w:ascii="Times New Roman" w:hAnsi="Times New Roman" w:cs="Times New Roman"/>
                <w:b/>
                <w:lang w:eastAsia="zh-CN"/>
              </w:rPr>
            </w:pPr>
            <w:r>
              <w:rPr>
                <w:rFonts w:hint="eastAsia" w:ascii="宋体" w:hAnsi="宋体" w:eastAsia="宋体" w:cs="宋体"/>
                <w:b/>
                <w:lang w:eastAsia="zh-CN"/>
              </w:rPr>
              <w:t>（细化到节或条）</w:t>
            </w:r>
          </w:p>
        </w:tc>
      </w:tr>
      <w:tr w14:paraId="55AC1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1" w:hRule="atLeast"/>
          <w:jc w:val="center"/>
        </w:trPr>
        <w:tc>
          <w:tcPr>
            <w:tcW w:w="247" w:type="pct"/>
            <w:tcBorders>
              <w:top w:val="single" w:color="auto" w:sz="4" w:space="0"/>
              <w:left w:val="single" w:color="auto" w:sz="4" w:space="0"/>
              <w:bottom w:val="single" w:color="auto" w:sz="4" w:space="0"/>
              <w:right w:val="single" w:color="auto" w:sz="4" w:space="0"/>
            </w:tcBorders>
            <w:vAlign w:val="center"/>
          </w:tcPr>
          <w:p w14:paraId="349C1858">
            <w:pPr>
              <w:spacing w:line="360" w:lineRule="auto"/>
              <w:jc w:val="center"/>
              <w:rPr>
                <w:rFonts w:ascii="Times New Roman" w:hAnsi="Times New Roman" w:cs="Times New Roman"/>
              </w:rPr>
            </w:pPr>
            <w:r>
              <w:rPr>
                <w:rFonts w:ascii="Times New Roman" w:hAnsi="Times New Roman" w:cs="Times New Roman"/>
              </w:rPr>
              <w:t>1</w:t>
            </w:r>
          </w:p>
        </w:tc>
        <w:tc>
          <w:tcPr>
            <w:tcW w:w="1120" w:type="pct"/>
            <w:tcBorders>
              <w:top w:val="single" w:color="auto" w:sz="4" w:space="0"/>
              <w:left w:val="single" w:color="auto" w:sz="4" w:space="0"/>
              <w:bottom w:val="single" w:color="auto" w:sz="4" w:space="0"/>
              <w:right w:val="single" w:color="auto" w:sz="4" w:space="0"/>
            </w:tcBorders>
            <w:vAlign w:val="center"/>
          </w:tcPr>
          <w:p w14:paraId="635EC69A">
            <w:pPr>
              <w:spacing w:line="360" w:lineRule="auto"/>
              <w:ind w:right="700" w:firstLine="210" w:firstLineChars="100"/>
              <w:rPr>
                <w:rFonts w:ascii="Times New Roman" w:hAnsi="Times New Roman" w:cs="Times New Roman"/>
              </w:rPr>
            </w:pPr>
            <w:r>
              <w:rPr>
                <w:rFonts w:hint="eastAsia" w:ascii="宋体" w:hAnsi="宋体" w:eastAsia="宋体" w:cs="宋体"/>
              </w:rPr>
              <w:t>（主编）</w:t>
            </w:r>
          </w:p>
        </w:tc>
        <w:tc>
          <w:tcPr>
            <w:tcW w:w="613" w:type="pct"/>
            <w:tcBorders>
              <w:top w:val="single" w:color="auto" w:sz="4" w:space="0"/>
              <w:left w:val="single" w:color="auto" w:sz="4" w:space="0"/>
              <w:bottom w:val="single" w:color="auto" w:sz="4" w:space="0"/>
              <w:right w:val="single" w:color="auto" w:sz="4" w:space="0"/>
            </w:tcBorders>
          </w:tcPr>
          <w:p w14:paraId="45F5EB98">
            <w:pPr>
              <w:spacing w:line="360" w:lineRule="auto"/>
              <w:rPr>
                <w:rFonts w:ascii="Times New Roman" w:hAnsi="Times New Roman" w:cs="Times New Roman"/>
              </w:rPr>
            </w:pPr>
            <w:r>
              <w:rPr>
                <w:rFonts w:hint="eastAsia" w:ascii="宋体" w:hAnsi="宋体" w:eastAsia="宋体" w:cs="宋体"/>
              </w:rPr>
              <w:t>赵仁勇</w:t>
            </w:r>
          </w:p>
        </w:tc>
        <w:tc>
          <w:tcPr>
            <w:tcW w:w="858" w:type="pct"/>
            <w:tcBorders>
              <w:top w:val="single" w:color="auto" w:sz="4" w:space="0"/>
              <w:left w:val="single" w:color="auto" w:sz="4" w:space="0"/>
              <w:bottom w:val="single" w:color="auto" w:sz="4" w:space="0"/>
              <w:right w:val="single" w:color="auto" w:sz="4" w:space="0"/>
            </w:tcBorders>
          </w:tcPr>
          <w:p w14:paraId="065C0468">
            <w:pPr>
              <w:spacing w:line="360" w:lineRule="auto"/>
              <w:rPr>
                <w:rFonts w:ascii="Times New Roman" w:hAnsi="Times New Roman" w:cs="Times New Roman"/>
              </w:rPr>
            </w:pPr>
            <w:r>
              <w:rPr>
                <w:rFonts w:hint="eastAsia" w:ascii="宋体" w:hAnsi="宋体" w:eastAsia="宋体" w:cs="宋体"/>
              </w:rPr>
              <w:t>院长</w:t>
            </w:r>
            <w:r>
              <w:rPr>
                <w:rFonts w:ascii="Times New Roman" w:hAnsi="Times New Roman" w:cs="Times New Roman"/>
              </w:rPr>
              <w:t>/</w:t>
            </w:r>
            <w:r>
              <w:rPr>
                <w:rFonts w:hint="eastAsia" w:ascii="宋体" w:hAnsi="宋体" w:eastAsia="宋体" w:cs="宋体"/>
              </w:rPr>
              <w:t>教授</w:t>
            </w:r>
          </w:p>
        </w:tc>
        <w:tc>
          <w:tcPr>
            <w:tcW w:w="879" w:type="pct"/>
            <w:tcBorders>
              <w:top w:val="single" w:color="auto" w:sz="4" w:space="0"/>
              <w:left w:val="single" w:color="auto" w:sz="4" w:space="0"/>
              <w:bottom w:val="single" w:color="auto" w:sz="4" w:space="0"/>
              <w:right w:val="single" w:color="auto" w:sz="4" w:space="0"/>
            </w:tcBorders>
          </w:tcPr>
          <w:p w14:paraId="1321C9A0">
            <w:pPr>
              <w:spacing w:line="360" w:lineRule="auto"/>
              <w:rPr>
                <w:rFonts w:ascii="Times New Roman" w:hAnsi="Times New Roman" w:cs="Times New Roman"/>
              </w:rPr>
            </w:pPr>
            <w:r>
              <w:rPr>
                <w:rFonts w:ascii="Times New Roman" w:hAnsi="Times New Roman" w:cs="Times New Roman"/>
              </w:rPr>
              <w:t>18623717885</w:t>
            </w:r>
          </w:p>
        </w:tc>
        <w:tc>
          <w:tcPr>
            <w:tcW w:w="1280" w:type="pct"/>
            <w:tcBorders>
              <w:top w:val="single" w:color="auto" w:sz="4" w:space="0"/>
              <w:left w:val="single" w:color="auto" w:sz="4" w:space="0"/>
              <w:bottom w:val="single" w:color="auto" w:sz="4" w:space="0"/>
              <w:right w:val="single" w:color="auto" w:sz="4" w:space="0"/>
            </w:tcBorders>
          </w:tcPr>
          <w:p w14:paraId="1240A950">
            <w:pPr>
              <w:spacing w:line="360" w:lineRule="auto"/>
              <w:rPr>
                <w:rFonts w:ascii="Times New Roman" w:hAnsi="Times New Roman" w:cs="Times New Roman"/>
              </w:rPr>
            </w:pPr>
            <w:r>
              <w:rPr>
                <w:rFonts w:hint="eastAsia" w:ascii="宋体" w:hAnsi="宋体" w:eastAsia="宋体" w:cs="宋体"/>
              </w:rPr>
              <w:t>第一、二节</w:t>
            </w:r>
          </w:p>
        </w:tc>
      </w:tr>
      <w:tr w14:paraId="6FF7B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jc w:val="center"/>
        </w:trPr>
        <w:tc>
          <w:tcPr>
            <w:tcW w:w="247" w:type="pct"/>
            <w:tcBorders>
              <w:top w:val="single" w:color="auto" w:sz="4" w:space="0"/>
              <w:left w:val="single" w:color="auto" w:sz="4" w:space="0"/>
              <w:bottom w:val="single" w:color="auto" w:sz="4" w:space="0"/>
              <w:right w:val="single" w:color="auto" w:sz="4" w:space="0"/>
            </w:tcBorders>
            <w:vAlign w:val="center"/>
          </w:tcPr>
          <w:p w14:paraId="47472F58">
            <w:pPr>
              <w:spacing w:line="360" w:lineRule="auto"/>
              <w:jc w:val="center"/>
              <w:rPr>
                <w:rFonts w:ascii="Times New Roman" w:hAnsi="Times New Roman" w:cs="Times New Roman"/>
              </w:rPr>
            </w:pPr>
            <w:r>
              <w:rPr>
                <w:rFonts w:ascii="Times New Roman" w:hAnsi="Times New Roman" w:cs="Times New Roman"/>
              </w:rPr>
              <w:t>2</w:t>
            </w:r>
          </w:p>
        </w:tc>
        <w:tc>
          <w:tcPr>
            <w:tcW w:w="1120" w:type="pct"/>
            <w:tcBorders>
              <w:top w:val="single" w:color="auto" w:sz="4" w:space="0"/>
              <w:left w:val="single" w:color="auto" w:sz="4" w:space="0"/>
              <w:bottom w:val="single" w:color="auto" w:sz="4" w:space="0"/>
              <w:right w:val="single" w:color="auto" w:sz="4" w:space="0"/>
            </w:tcBorders>
          </w:tcPr>
          <w:p w14:paraId="10F02F78">
            <w:pPr>
              <w:spacing w:line="360" w:lineRule="auto"/>
              <w:jc w:val="right"/>
              <w:rPr>
                <w:rFonts w:ascii="Times New Roman" w:hAnsi="Times New Roman" w:cs="Times New Roman"/>
              </w:rPr>
            </w:pPr>
            <w:r>
              <w:rPr>
                <w:rFonts w:hint="eastAsia" w:ascii="宋体" w:hAnsi="宋体" w:eastAsia="宋体" w:cs="宋体"/>
              </w:rPr>
              <w:t>（参编、联络员）</w:t>
            </w:r>
          </w:p>
        </w:tc>
        <w:tc>
          <w:tcPr>
            <w:tcW w:w="613" w:type="pct"/>
            <w:tcBorders>
              <w:top w:val="single" w:color="auto" w:sz="4" w:space="0"/>
              <w:left w:val="single" w:color="auto" w:sz="4" w:space="0"/>
              <w:bottom w:val="single" w:color="auto" w:sz="4" w:space="0"/>
              <w:right w:val="single" w:color="auto" w:sz="4" w:space="0"/>
            </w:tcBorders>
          </w:tcPr>
          <w:p w14:paraId="6959C2AB">
            <w:pPr>
              <w:spacing w:line="360" w:lineRule="auto"/>
              <w:rPr>
                <w:rFonts w:ascii="Times New Roman" w:hAnsi="Times New Roman" w:cs="Times New Roman"/>
              </w:rPr>
            </w:pPr>
            <w:r>
              <w:rPr>
                <w:rFonts w:hint="eastAsia" w:ascii="宋体" w:hAnsi="宋体" w:eastAsia="宋体" w:cs="宋体"/>
              </w:rPr>
              <w:t>田双起</w:t>
            </w:r>
          </w:p>
        </w:tc>
        <w:tc>
          <w:tcPr>
            <w:tcW w:w="858" w:type="pct"/>
            <w:tcBorders>
              <w:top w:val="single" w:color="auto" w:sz="4" w:space="0"/>
              <w:left w:val="single" w:color="auto" w:sz="4" w:space="0"/>
              <w:bottom w:val="single" w:color="auto" w:sz="4" w:space="0"/>
              <w:right w:val="single" w:color="auto" w:sz="4" w:space="0"/>
            </w:tcBorders>
          </w:tcPr>
          <w:p w14:paraId="338DFD2D">
            <w:pPr>
              <w:spacing w:line="360" w:lineRule="auto"/>
              <w:rPr>
                <w:rFonts w:ascii="Times New Roman" w:hAnsi="Times New Roman" w:cs="Times New Roman"/>
              </w:rPr>
            </w:pPr>
            <w:r>
              <w:rPr>
                <w:rFonts w:hint="eastAsia" w:ascii="宋体" w:hAnsi="宋体" w:eastAsia="宋体" w:cs="宋体"/>
              </w:rPr>
              <w:t>无</w:t>
            </w:r>
            <w:r>
              <w:rPr>
                <w:rFonts w:ascii="Times New Roman" w:hAnsi="Times New Roman" w:cs="Times New Roman"/>
              </w:rPr>
              <w:t>/</w:t>
            </w:r>
            <w:r>
              <w:rPr>
                <w:rFonts w:hint="eastAsia" w:ascii="宋体" w:hAnsi="宋体" w:eastAsia="宋体" w:cs="宋体"/>
              </w:rPr>
              <w:t>教授</w:t>
            </w:r>
          </w:p>
        </w:tc>
        <w:tc>
          <w:tcPr>
            <w:tcW w:w="879" w:type="pct"/>
            <w:tcBorders>
              <w:top w:val="single" w:color="auto" w:sz="4" w:space="0"/>
              <w:left w:val="single" w:color="auto" w:sz="4" w:space="0"/>
              <w:bottom w:val="single" w:color="auto" w:sz="4" w:space="0"/>
              <w:right w:val="single" w:color="auto" w:sz="4" w:space="0"/>
            </w:tcBorders>
          </w:tcPr>
          <w:p w14:paraId="69368621">
            <w:pPr>
              <w:spacing w:line="360" w:lineRule="auto"/>
              <w:rPr>
                <w:rFonts w:ascii="Times New Roman" w:hAnsi="Times New Roman" w:cs="Times New Roman"/>
              </w:rPr>
            </w:pPr>
            <w:r>
              <w:rPr>
                <w:rFonts w:ascii="Times New Roman" w:hAnsi="Times New Roman" w:cs="Times New Roman"/>
              </w:rPr>
              <w:t>18623719520</w:t>
            </w:r>
          </w:p>
        </w:tc>
        <w:tc>
          <w:tcPr>
            <w:tcW w:w="1280" w:type="pct"/>
            <w:tcBorders>
              <w:top w:val="single" w:color="auto" w:sz="4" w:space="0"/>
              <w:left w:val="single" w:color="auto" w:sz="4" w:space="0"/>
              <w:bottom w:val="single" w:color="auto" w:sz="4" w:space="0"/>
              <w:right w:val="single" w:color="auto" w:sz="4" w:space="0"/>
            </w:tcBorders>
          </w:tcPr>
          <w:p w14:paraId="6BC49792">
            <w:pPr>
              <w:spacing w:line="360" w:lineRule="auto"/>
              <w:rPr>
                <w:rFonts w:ascii="Times New Roman" w:hAnsi="Times New Roman" w:cs="Times New Roman"/>
              </w:rPr>
            </w:pPr>
            <w:r>
              <w:rPr>
                <w:rFonts w:hint="eastAsia" w:ascii="宋体" w:hAnsi="宋体" w:eastAsia="宋体" w:cs="宋体"/>
              </w:rPr>
              <w:t>第三、五、六、七节</w:t>
            </w:r>
          </w:p>
        </w:tc>
      </w:tr>
      <w:tr w14:paraId="0DA5A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247" w:type="pct"/>
            <w:tcBorders>
              <w:top w:val="single" w:color="auto" w:sz="4" w:space="0"/>
              <w:left w:val="single" w:color="auto" w:sz="4" w:space="0"/>
              <w:bottom w:val="single" w:color="auto" w:sz="4" w:space="0"/>
              <w:right w:val="single" w:color="auto" w:sz="4" w:space="0"/>
            </w:tcBorders>
            <w:vAlign w:val="center"/>
          </w:tcPr>
          <w:p w14:paraId="0D67EF00">
            <w:pPr>
              <w:spacing w:line="360" w:lineRule="auto"/>
              <w:jc w:val="center"/>
              <w:rPr>
                <w:rFonts w:ascii="Times New Roman" w:hAnsi="Times New Roman" w:cs="Times New Roman"/>
              </w:rPr>
            </w:pPr>
            <w:r>
              <w:rPr>
                <w:rFonts w:ascii="Times New Roman" w:hAnsi="Times New Roman" w:cs="Times New Roman"/>
              </w:rPr>
              <w:t>3</w:t>
            </w:r>
          </w:p>
        </w:tc>
        <w:tc>
          <w:tcPr>
            <w:tcW w:w="1120" w:type="pct"/>
            <w:tcBorders>
              <w:top w:val="single" w:color="auto" w:sz="4" w:space="0"/>
              <w:left w:val="single" w:color="auto" w:sz="4" w:space="0"/>
              <w:bottom w:val="single" w:color="auto" w:sz="4" w:space="0"/>
              <w:right w:val="single" w:color="auto" w:sz="4" w:space="0"/>
            </w:tcBorders>
          </w:tcPr>
          <w:p w14:paraId="67487D2F">
            <w:pPr>
              <w:spacing w:line="360" w:lineRule="auto"/>
              <w:ind w:right="560" w:firstLine="210" w:firstLineChars="100"/>
              <w:rPr>
                <w:rFonts w:ascii="Times New Roman" w:hAnsi="Times New Roman" w:cs="Times New Roman"/>
              </w:rPr>
            </w:pPr>
            <w:r>
              <w:rPr>
                <w:rFonts w:hint="eastAsia" w:ascii="宋体" w:hAnsi="宋体" w:eastAsia="宋体" w:cs="宋体"/>
              </w:rPr>
              <w:t>（参编）</w:t>
            </w:r>
          </w:p>
        </w:tc>
        <w:tc>
          <w:tcPr>
            <w:tcW w:w="613" w:type="pct"/>
            <w:tcBorders>
              <w:top w:val="single" w:color="auto" w:sz="4" w:space="0"/>
              <w:left w:val="single" w:color="auto" w:sz="4" w:space="0"/>
              <w:bottom w:val="single" w:color="auto" w:sz="4" w:space="0"/>
              <w:right w:val="single" w:color="auto" w:sz="4" w:space="0"/>
            </w:tcBorders>
          </w:tcPr>
          <w:p w14:paraId="62F75807">
            <w:pPr>
              <w:spacing w:line="360" w:lineRule="auto"/>
              <w:rPr>
                <w:rFonts w:ascii="Times New Roman" w:hAnsi="Times New Roman" w:cs="Times New Roman"/>
              </w:rPr>
            </w:pPr>
            <w:r>
              <w:rPr>
                <w:rFonts w:hint="eastAsia" w:ascii="宋体" w:hAnsi="宋体" w:eastAsia="宋体" w:cs="宋体"/>
              </w:rPr>
              <w:t>王新伟</w:t>
            </w:r>
          </w:p>
        </w:tc>
        <w:tc>
          <w:tcPr>
            <w:tcW w:w="858" w:type="pct"/>
            <w:tcBorders>
              <w:top w:val="single" w:color="auto" w:sz="4" w:space="0"/>
              <w:left w:val="single" w:color="auto" w:sz="4" w:space="0"/>
              <w:bottom w:val="single" w:color="auto" w:sz="4" w:space="0"/>
              <w:right w:val="single" w:color="auto" w:sz="4" w:space="0"/>
            </w:tcBorders>
          </w:tcPr>
          <w:p w14:paraId="45F8EA38">
            <w:pPr>
              <w:spacing w:line="360" w:lineRule="auto"/>
              <w:rPr>
                <w:rFonts w:ascii="Times New Roman" w:hAnsi="Times New Roman" w:cs="Times New Roman"/>
              </w:rPr>
            </w:pPr>
            <w:r>
              <w:rPr>
                <w:rFonts w:hint="eastAsia" w:ascii="宋体" w:hAnsi="宋体" w:eastAsia="宋体" w:cs="宋体"/>
              </w:rPr>
              <w:t>主任</w:t>
            </w:r>
            <w:r>
              <w:rPr>
                <w:rFonts w:ascii="Times New Roman" w:hAnsi="Times New Roman" w:cs="Times New Roman"/>
              </w:rPr>
              <w:t>/</w:t>
            </w:r>
            <w:r>
              <w:rPr>
                <w:rFonts w:ascii="Times New Roman" w:hAnsi="Times New Roman" w:eastAsia="宋体" w:cs="Times New Roman"/>
                <w:lang w:eastAsia="zh-CN"/>
              </w:rPr>
              <w:t>副教授</w:t>
            </w:r>
          </w:p>
        </w:tc>
        <w:tc>
          <w:tcPr>
            <w:tcW w:w="879" w:type="pct"/>
            <w:tcBorders>
              <w:top w:val="single" w:color="auto" w:sz="4" w:space="0"/>
              <w:left w:val="single" w:color="auto" w:sz="4" w:space="0"/>
              <w:bottom w:val="single" w:color="auto" w:sz="4" w:space="0"/>
              <w:right w:val="single" w:color="auto" w:sz="4" w:space="0"/>
            </w:tcBorders>
          </w:tcPr>
          <w:p w14:paraId="793E52D6">
            <w:pPr>
              <w:spacing w:line="360" w:lineRule="auto"/>
              <w:rPr>
                <w:rFonts w:ascii="Times New Roman" w:hAnsi="Times New Roman" w:cs="Times New Roman"/>
              </w:rPr>
            </w:pPr>
            <w:r>
              <w:rPr>
                <w:rFonts w:ascii="Times New Roman" w:hAnsi="Times New Roman" w:cs="Times New Roman"/>
              </w:rPr>
              <w:t>18623717881</w:t>
            </w:r>
          </w:p>
        </w:tc>
        <w:tc>
          <w:tcPr>
            <w:tcW w:w="1280" w:type="pct"/>
            <w:tcBorders>
              <w:top w:val="single" w:color="auto" w:sz="4" w:space="0"/>
              <w:left w:val="single" w:color="auto" w:sz="4" w:space="0"/>
              <w:bottom w:val="single" w:color="auto" w:sz="4" w:space="0"/>
              <w:right w:val="single" w:color="auto" w:sz="4" w:space="0"/>
            </w:tcBorders>
          </w:tcPr>
          <w:p w14:paraId="66FCDC8B">
            <w:pPr>
              <w:spacing w:line="360" w:lineRule="auto"/>
              <w:rPr>
                <w:rFonts w:ascii="Times New Roman" w:hAnsi="Times New Roman" w:cs="Times New Roman"/>
              </w:rPr>
            </w:pPr>
            <w:r>
              <w:rPr>
                <w:rFonts w:hint="eastAsia" w:ascii="宋体" w:hAnsi="宋体" w:eastAsia="宋体" w:cs="宋体"/>
              </w:rPr>
              <w:t>第四、七、八节</w:t>
            </w:r>
          </w:p>
        </w:tc>
      </w:tr>
      <w:tr w14:paraId="1404D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jc w:val="center"/>
        </w:trPr>
        <w:tc>
          <w:tcPr>
            <w:tcW w:w="247" w:type="pct"/>
            <w:tcBorders>
              <w:top w:val="single" w:color="auto" w:sz="4" w:space="0"/>
              <w:left w:val="single" w:color="auto" w:sz="4" w:space="0"/>
              <w:bottom w:val="single" w:color="auto" w:sz="4" w:space="0"/>
              <w:right w:val="single" w:color="auto" w:sz="4" w:space="0"/>
            </w:tcBorders>
            <w:shd w:val="clear" w:color="auto" w:fill="auto"/>
            <w:vAlign w:val="center"/>
          </w:tcPr>
          <w:p w14:paraId="555BA9C6">
            <w:pPr>
              <w:spacing w:line="360" w:lineRule="auto"/>
              <w:jc w:val="center"/>
              <w:rPr>
                <w:rFonts w:ascii="Times New Roman" w:hAnsi="Times New Roman" w:eastAsia="Arial" w:cs="Times New Roman"/>
                <w:snapToGrid w:val="0"/>
                <w:color w:val="000000"/>
                <w:sz w:val="21"/>
                <w:szCs w:val="21"/>
                <w:lang w:val="en-US" w:eastAsia="en-US" w:bidi="ar-SA"/>
              </w:rPr>
            </w:pPr>
            <w:r>
              <w:rPr>
                <w:rFonts w:ascii="Times New Roman" w:hAnsi="Times New Roman" w:cs="Times New Roman"/>
              </w:rPr>
              <w:t>4</w:t>
            </w:r>
          </w:p>
        </w:tc>
        <w:tc>
          <w:tcPr>
            <w:tcW w:w="1120" w:type="pct"/>
            <w:tcBorders>
              <w:top w:val="single" w:color="auto" w:sz="4" w:space="0"/>
              <w:left w:val="single" w:color="auto" w:sz="4" w:space="0"/>
              <w:bottom w:val="single" w:color="auto" w:sz="4" w:space="0"/>
              <w:right w:val="single" w:color="auto" w:sz="4" w:space="0"/>
            </w:tcBorders>
            <w:shd w:val="clear" w:color="auto" w:fill="auto"/>
            <w:vAlign w:val="top"/>
          </w:tcPr>
          <w:p w14:paraId="1558C0AF">
            <w:pPr>
              <w:spacing w:line="360" w:lineRule="auto"/>
              <w:ind w:right="560" w:rightChars="0" w:firstLine="210" w:firstLineChars="100"/>
              <w:rPr>
                <w:rFonts w:hint="eastAsia" w:ascii="Times New Roman" w:hAnsi="Times New Roman" w:eastAsia="Arial" w:cs="Times New Roman"/>
                <w:snapToGrid w:val="0"/>
                <w:color w:val="000000"/>
                <w:sz w:val="21"/>
                <w:szCs w:val="21"/>
                <w:lang w:val="en-US" w:eastAsia="en-US" w:bidi="ar-SA"/>
              </w:rPr>
            </w:pPr>
            <w:r>
              <w:rPr>
                <w:rFonts w:ascii="Times New Roman" w:hAnsi="Times New Roman" w:cs="Times New Roman"/>
                <w:sz w:val="21"/>
                <w:szCs w:val="21"/>
              </w:rPr>
              <w:t>（参编）</w:t>
            </w:r>
          </w:p>
        </w:tc>
        <w:tc>
          <w:tcPr>
            <w:tcW w:w="613" w:type="pct"/>
            <w:tcBorders>
              <w:top w:val="single" w:color="auto" w:sz="4" w:space="0"/>
              <w:left w:val="single" w:color="auto" w:sz="4" w:space="0"/>
              <w:bottom w:val="single" w:color="auto" w:sz="4" w:space="0"/>
              <w:right w:val="single" w:color="auto" w:sz="4" w:space="0"/>
            </w:tcBorders>
            <w:shd w:val="clear" w:color="auto" w:fill="auto"/>
            <w:vAlign w:val="top"/>
          </w:tcPr>
          <w:p w14:paraId="00A71F21">
            <w:pPr>
              <w:spacing w:line="360" w:lineRule="auto"/>
              <w:rPr>
                <w:rFonts w:hint="eastAsia" w:ascii="Times New Roman" w:hAnsi="Times New Roman" w:cs="Times New Roman" w:eastAsiaTheme="minorEastAsia"/>
                <w:snapToGrid w:val="0"/>
                <w:color w:val="000000"/>
                <w:sz w:val="21"/>
                <w:szCs w:val="21"/>
                <w:lang w:val="en-US" w:eastAsia="zh-CN" w:bidi="ar-SA"/>
              </w:rPr>
            </w:pPr>
            <w:r>
              <w:rPr>
                <w:rFonts w:hint="eastAsia" w:ascii="Times New Roman" w:hAnsi="Times New Roman" w:cs="Times New Roman"/>
                <w:sz w:val="21"/>
                <w:szCs w:val="21"/>
                <w:lang w:val="en-US" w:eastAsia="zh-CN"/>
              </w:rPr>
              <w:t>刘战朋</w:t>
            </w:r>
          </w:p>
        </w:tc>
        <w:tc>
          <w:tcPr>
            <w:tcW w:w="858" w:type="pct"/>
            <w:tcBorders>
              <w:top w:val="single" w:color="auto" w:sz="4" w:space="0"/>
              <w:left w:val="single" w:color="auto" w:sz="4" w:space="0"/>
              <w:bottom w:val="single" w:color="auto" w:sz="4" w:space="0"/>
              <w:right w:val="single" w:color="auto" w:sz="4" w:space="0"/>
            </w:tcBorders>
            <w:shd w:val="clear" w:color="auto" w:fill="auto"/>
            <w:vAlign w:val="top"/>
          </w:tcPr>
          <w:p w14:paraId="596B9034">
            <w:pPr>
              <w:spacing w:line="360" w:lineRule="auto"/>
              <w:rPr>
                <w:rFonts w:hint="eastAsia" w:ascii="Times New Roman" w:hAnsi="Times New Roman" w:eastAsia="Arial" w:cs="Times New Roman"/>
                <w:snapToGrid w:val="0"/>
                <w:color w:val="000000"/>
                <w:sz w:val="21"/>
                <w:szCs w:val="21"/>
                <w:lang w:val="en-US" w:eastAsia="en-US" w:bidi="ar-SA"/>
              </w:rPr>
            </w:pPr>
            <w:r>
              <w:rPr>
                <w:rFonts w:hint="eastAsia" w:ascii="Times New Roman" w:hAnsi="Times New Roman" w:cs="Times New Roman"/>
                <w:sz w:val="21"/>
                <w:szCs w:val="21"/>
                <w:lang w:val="en-US" w:eastAsia="zh-CN"/>
              </w:rPr>
              <w:t>无</w:t>
            </w:r>
            <w:r>
              <w:rPr>
                <w:rFonts w:ascii="Times New Roman" w:hAnsi="Times New Roman" w:cs="Times New Roman"/>
                <w:sz w:val="21"/>
                <w:szCs w:val="21"/>
              </w:rPr>
              <w:t>/</w:t>
            </w:r>
            <w:r>
              <w:rPr>
                <w:rFonts w:hint="eastAsia" w:ascii="Times New Roman" w:hAnsi="Times New Roman" w:cs="Times New Roman"/>
                <w:sz w:val="21"/>
                <w:szCs w:val="21"/>
                <w:lang w:val="en-US" w:eastAsia="zh-CN"/>
              </w:rPr>
              <w:t>讲师</w:t>
            </w:r>
          </w:p>
        </w:tc>
        <w:tc>
          <w:tcPr>
            <w:tcW w:w="879" w:type="pct"/>
            <w:tcBorders>
              <w:top w:val="single" w:color="auto" w:sz="4" w:space="0"/>
              <w:left w:val="single" w:color="auto" w:sz="4" w:space="0"/>
              <w:bottom w:val="single" w:color="auto" w:sz="4" w:space="0"/>
              <w:right w:val="single" w:color="auto" w:sz="4" w:space="0"/>
            </w:tcBorders>
            <w:shd w:val="clear" w:color="auto" w:fill="auto"/>
            <w:vAlign w:val="top"/>
          </w:tcPr>
          <w:p w14:paraId="7BBD114B">
            <w:pPr>
              <w:spacing w:line="360" w:lineRule="auto"/>
              <w:rPr>
                <w:rFonts w:hint="default" w:ascii="Times New Roman" w:hAnsi="Times New Roman" w:cs="Times New Roman" w:eastAsiaTheme="minorEastAsia"/>
                <w:snapToGrid w:val="0"/>
                <w:color w:val="000000"/>
                <w:sz w:val="21"/>
                <w:szCs w:val="21"/>
                <w:lang w:val="en-US" w:eastAsia="zh-CN" w:bidi="ar-SA"/>
              </w:rPr>
            </w:pPr>
            <w:r>
              <w:rPr>
                <w:rFonts w:ascii="Times New Roman" w:hAnsi="Times New Roman" w:cs="Times New Roman"/>
                <w:sz w:val="21"/>
                <w:szCs w:val="21"/>
              </w:rPr>
              <w:t>1862371</w:t>
            </w:r>
            <w:r>
              <w:rPr>
                <w:rFonts w:hint="eastAsia" w:ascii="Times New Roman" w:hAnsi="Times New Roman" w:cs="Times New Roman"/>
                <w:sz w:val="21"/>
                <w:szCs w:val="21"/>
                <w:lang w:val="en-US" w:eastAsia="zh-CN"/>
              </w:rPr>
              <w:t>8813</w:t>
            </w:r>
          </w:p>
        </w:tc>
        <w:tc>
          <w:tcPr>
            <w:tcW w:w="1280" w:type="pct"/>
            <w:tcBorders>
              <w:top w:val="single" w:color="auto" w:sz="4" w:space="0"/>
              <w:left w:val="single" w:color="auto" w:sz="4" w:space="0"/>
              <w:bottom w:val="single" w:color="auto" w:sz="4" w:space="0"/>
              <w:right w:val="single" w:color="auto" w:sz="4" w:space="0"/>
            </w:tcBorders>
            <w:shd w:val="clear" w:color="auto" w:fill="auto"/>
            <w:vAlign w:val="top"/>
          </w:tcPr>
          <w:p w14:paraId="35142966">
            <w:pPr>
              <w:spacing w:line="360" w:lineRule="auto"/>
              <w:rPr>
                <w:rFonts w:hint="eastAsia" w:ascii="Times New Roman" w:hAnsi="Times New Roman" w:eastAsia="Arial" w:cs="Times New Roman"/>
                <w:snapToGrid w:val="0"/>
                <w:color w:val="000000"/>
                <w:sz w:val="21"/>
                <w:szCs w:val="21"/>
                <w:lang w:val="en-US" w:eastAsia="en-US" w:bidi="ar-SA"/>
              </w:rPr>
            </w:pPr>
            <w:r>
              <w:rPr>
                <w:rFonts w:ascii="Times New Roman" w:hAnsi="Times New Roman" w:cs="Times New Roman"/>
                <w:sz w:val="21"/>
                <w:szCs w:val="21"/>
              </w:rPr>
              <w:t>第四、</w:t>
            </w:r>
            <w:r>
              <w:rPr>
                <w:rFonts w:hint="eastAsia" w:ascii="Times New Roman" w:hAnsi="Times New Roman" w:cs="Times New Roman"/>
                <w:sz w:val="21"/>
                <w:szCs w:val="21"/>
                <w:lang w:val="en-US" w:eastAsia="zh-CN"/>
              </w:rPr>
              <w:t>六</w:t>
            </w:r>
            <w:r>
              <w:rPr>
                <w:rFonts w:ascii="Times New Roman" w:hAnsi="Times New Roman" w:cs="Times New Roman"/>
                <w:sz w:val="21"/>
                <w:szCs w:val="21"/>
              </w:rPr>
              <w:t>、八节</w:t>
            </w:r>
          </w:p>
        </w:tc>
      </w:tr>
      <w:tr w14:paraId="5FBE2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6" w:hRule="atLeast"/>
          <w:jc w:val="center"/>
        </w:trPr>
        <w:tc>
          <w:tcPr>
            <w:tcW w:w="247" w:type="pct"/>
            <w:tcBorders>
              <w:top w:val="single" w:color="auto" w:sz="4" w:space="0"/>
              <w:left w:val="single" w:color="auto" w:sz="4" w:space="0"/>
              <w:bottom w:val="single" w:color="auto" w:sz="4" w:space="0"/>
              <w:right w:val="single" w:color="auto" w:sz="4" w:space="0"/>
            </w:tcBorders>
            <w:shd w:val="clear" w:color="auto" w:fill="auto"/>
            <w:vAlign w:val="center"/>
          </w:tcPr>
          <w:p w14:paraId="268316E1">
            <w:pPr>
              <w:spacing w:line="360" w:lineRule="auto"/>
              <w:jc w:val="center"/>
              <w:rPr>
                <w:rFonts w:ascii="Times New Roman" w:hAnsi="Times New Roman" w:eastAsia="Arial" w:cs="Times New Roman"/>
                <w:snapToGrid w:val="0"/>
                <w:color w:val="000000"/>
                <w:sz w:val="21"/>
                <w:szCs w:val="21"/>
                <w:lang w:val="en-US" w:eastAsia="en-US" w:bidi="ar-SA"/>
              </w:rPr>
            </w:pPr>
            <w:r>
              <w:rPr>
                <w:rFonts w:ascii="Times New Roman" w:hAnsi="Times New Roman" w:cs="Times New Roman"/>
              </w:rPr>
              <w:t>5</w:t>
            </w:r>
          </w:p>
        </w:tc>
        <w:tc>
          <w:tcPr>
            <w:tcW w:w="1120" w:type="pct"/>
            <w:tcBorders>
              <w:top w:val="single" w:color="auto" w:sz="4" w:space="0"/>
              <w:left w:val="single" w:color="auto" w:sz="4" w:space="0"/>
              <w:bottom w:val="single" w:color="auto" w:sz="4" w:space="0"/>
              <w:right w:val="single" w:color="auto" w:sz="4" w:space="0"/>
            </w:tcBorders>
          </w:tcPr>
          <w:p w14:paraId="0E1182D8">
            <w:pPr>
              <w:spacing w:line="360" w:lineRule="auto"/>
              <w:ind w:right="560" w:firstLine="210" w:firstLineChars="100"/>
              <w:rPr>
                <w:rFonts w:ascii="Times New Roman" w:hAnsi="Times New Roman" w:cs="Times New Roman"/>
              </w:rPr>
            </w:pPr>
            <w:r>
              <w:rPr>
                <w:rFonts w:hint="eastAsia" w:ascii="宋体" w:hAnsi="宋体" w:eastAsia="宋体" w:cs="宋体"/>
              </w:rPr>
              <w:t>（参编）</w:t>
            </w:r>
          </w:p>
        </w:tc>
        <w:tc>
          <w:tcPr>
            <w:tcW w:w="613" w:type="pct"/>
            <w:tcBorders>
              <w:top w:val="single" w:color="auto" w:sz="4" w:space="0"/>
              <w:left w:val="single" w:color="auto" w:sz="4" w:space="0"/>
              <w:bottom w:val="single" w:color="auto" w:sz="4" w:space="0"/>
              <w:right w:val="single" w:color="auto" w:sz="4" w:space="0"/>
            </w:tcBorders>
          </w:tcPr>
          <w:p w14:paraId="50D5486C">
            <w:pPr>
              <w:spacing w:line="360" w:lineRule="auto"/>
              <w:rPr>
                <w:rFonts w:ascii="Times New Roman" w:hAnsi="Times New Roman" w:cs="Times New Roman"/>
              </w:rPr>
            </w:pPr>
            <w:r>
              <w:rPr>
                <w:rFonts w:hint="eastAsia" w:ascii="宋体" w:hAnsi="宋体" w:eastAsia="宋体" w:cs="宋体"/>
              </w:rPr>
              <w:t>蒋洪新</w:t>
            </w:r>
          </w:p>
        </w:tc>
        <w:tc>
          <w:tcPr>
            <w:tcW w:w="858" w:type="pct"/>
            <w:tcBorders>
              <w:top w:val="single" w:color="auto" w:sz="4" w:space="0"/>
              <w:left w:val="single" w:color="auto" w:sz="4" w:space="0"/>
              <w:bottom w:val="single" w:color="auto" w:sz="4" w:space="0"/>
              <w:right w:val="single" w:color="auto" w:sz="4" w:space="0"/>
            </w:tcBorders>
          </w:tcPr>
          <w:p w14:paraId="21483AAB">
            <w:pPr>
              <w:spacing w:line="360" w:lineRule="auto"/>
              <w:rPr>
                <w:rFonts w:ascii="Times New Roman" w:hAnsi="Times New Roman" w:cs="Times New Roman"/>
              </w:rPr>
            </w:pPr>
            <w:r>
              <w:rPr>
                <w:rFonts w:hint="eastAsia" w:ascii="宋体" w:hAnsi="宋体" w:eastAsia="宋体" w:cs="宋体"/>
              </w:rPr>
              <w:t>无</w:t>
            </w:r>
            <w:r>
              <w:rPr>
                <w:rFonts w:ascii="Times New Roman" w:hAnsi="Times New Roman" w:cs="Times New Roman"/>
              </w:rPr>
              <w:t>/</w:t>
            </w:r>
            <w:r>
              <w:rPr>
                <w:rFonts w:hint="eastAsia" w:ascii="宋体" w:hAnsi="宋体" w:eastAsia="宋体" w:cs="宋体"/>
              </w:rPr>
              <w:t>教授</w:t>
            </w:r>
          </w:p>
        </w:tc>
        <w:tc>
          <w:tcPr>
            <w:tcW w:w="879" w:type="pct"/>
            <w:tcBorders>
              <w:top w:val="single" w:color="auto" w:sz="4" w:space="0"/>
              <w:left w:val="single" w:color="auto" w:sz="4" w:space="0"/>
              <w:bottom w:val="single" w:color="auto" w:sz="4" w:space="0"/>
              <w:right w:val="single" w:color="auto" w:sz="4" w:space="0"/>
            </w:tcBorders>
          </w:tcPr>
          <w:p w14:paraId="6AFF6705">
            <w:pPr>
              <w:spacing w:line="360" w:lineRule="auto"/>
              <w:rPr>
                <w:rFonts w:ascii="Times New Roman" w:hAnsi="Times New Roman" w:cs="Times New Roman"/>
              </w:rPr>
            </w:pPr>
            <w:r>
              <w:rPr>
                <w:rFonts w:ascii="Times New Roman" w:hAnsi="Times New Roman" w:cs="Times New Roman"/>
              </w:rPr>
              <w:t>18623715137</w:t>
            </w:r>
          </w:p>
        </w:tc>
        <w:tc>
          <w:tcPr>
            <w:tcW w:w="1280" w:type="pct"/>
            <w:tcBorders>
              <w:top w:val="single" w:color="auto" w:sz="4" w:space="0"/>
              <w:left w:val="single" w:color="auto" w:sz="4" w:space="0"/>
              <w:bottom w:val="single" w:color="auto" w:sz="4" w:space="0"/>
              <w:right w:val="single" w:color="auto" w:sz="4" w:space="0"/>
            </w:tcBorders>
          </w:tcPr>
          <w:p w14:paraId="63200DCB">
            <w:pPr>
              <w:spacing w:line="360" w:lineRule="auto"/>
              <w:rPr>
                <w:rFonts w:ascii="Times New Roman" w:hAnsi="Times New Roman" w:cs="Times New Roman"/>
              </w:rPr>
            </w:pPr>
            <w:r>
              <w:rPr>
                <w:rFonts w:hint="eastAsia" w:ascii="宋体" w:hAnsi="宋体" w:eastAsia="宋体" w:cs="宋体"/>
              </w:rPr>
              <w:t>第五节</w:t>
            </w:r>
          </w:p>
        </w:tc>
      </w:tr>
      <w:tr w14:paraId="0EF0C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247" w:type="pct"/>
            <w:tcBorders>
              <w:top w:val="single" w:color="auto" w:sz="4" w:space="0"/>
              <w:left w:val="single" w:color="auto" w:sz="4" w:space="0"/>
              <w:bottom w:val="single" w:color="auto" w:sz="4" w:space="0"/>
              <w:right w:val="single" w:color="auto" w:sz="4" w:space="0"/>
            </w:tcBorders>
            <w:shd w:val="clear" w:color="auto" w:fill="auto"/>
            <w:vAlign w:val="center"/>
          </w:tcPr>
          <w:p w14:paraId="1C519350">
            <w:pPr>
              <w:spacing w:line="360" w:lineRule="auto"/>
              <w:jc w:val="center"/>
              <w:rPr>
                <w:rFonts w:ascii="Times New Roman" w:hAnsi="Times New Roman" w:eastAsia="Arial" w:cs="Times New Roman"/>
                <w:snapToGrid w:val="0"/>
                <w:color w:val="000000"/>
                <w:sz w:val="21"/>
                <w:szCs w:val="21"/>
                <w:lang w:val="en-US" w:eastAsia="en-US" w:bidi="ar-SA"/>
              </w:rPr>
            </w:pPr>
            <w:r>
              <w:rPr>
                <w:rFonts w:ascii="Times New Roman" w:hAnsi="Times New Roman" w:cs="Times New Roman"/>
              </w:rPr>
              <w:t>6</w:t>
            </w:r>
          </w:p>
        </w:tc>
        <w:tc>
          <w:tcPr>
            <w:tcW w:w="1120" w:type="pct"/>
            <w:tcBorders>
              <w:top w:val="single" w:color="auto" w:sz="4" w:space="0"/>
              <w:left w:val="single" w:color="auto" w:sz="4" w:space="0"/>
              <w:bottom w:val="single" w:color="auto" w:sz="4" w:space="0"/>
              <w:right w:val="single" w:color="auto" w:sz="4" w:space="0"/>
            </w:tcBorders>
          </w:tcPr>
          <w:p w14:paraId="008D3584">
            <w:pPr>
              <w:spacing w:line="360" w:lineRule="auto"/>
              <w:ind w:right="560" w:firstLine="210" w:firstLineChars="100"/>
              <w:rPr>
                <w:rFonts w:ascii="Times New Roman" w:hAnsi="Times New Roman" w:cs="Times New Roman"/>
              </w:rPr>
            </w:pPr>
            <w:r>
              <w:rPr>
                <w:rFonts w:hint="eastAsia" w:ascii="宋体" w:hAnsi="宋体" w:eastAsia="宋体" w:cs="宋体"/>
              </w:rPr>
              <w:t>（参编）</w:t>
            </w:r>
          </w:p>
        </w:tc>
        <w:tc>
          <w:tcPr>
            <w:tcW w:w="613" w:type="pct"/>
            <w:tcBorders>
              <w:top w:val="single" w:color="auto" w:sz="4" w:space="0"/>
              <w:left w:val="single" w:color="auto" w:sz="4" w:space="0"/>
              <w:bottom w:val="single" w:color="auto" w:sz="4" w:space="0"/>
              <w:right w:val="single" w:color="auto" w:sz="4" w:space="0"/>
            </w:tcBorders>
          </w:tcPr>
          <w:p w14:paraId="444AA713">
            <w:pPr>
              <w:spacing w:line="360" w:lineRule="auto"/>
              <w:rPr>
                <w:rFonts w:ascii="Times New Roman" w:hAnsi="Times New Roman" w:cs="Times New Roman"/>
              </w:rPr>
            </w:pPr>
            <w:r>
              <w:rPr>
                <w:rFonts w:hint="eastAsia" w:ascii="宋体" w:hAnsi="宋体" w:eastAsia="宋体" w:cs="宋体"/>
              </w:rPr>
              <w:t>秦学磊</w:t>
            </w:r>
          </w:p>
        </w:tc>
        <w:tc>
          <w:tcPr>
            <w:tcW w:w="858" w:type="pct"/>
            <w:tcBorders>
              <w:top w:val="single" w:color="auto" w:sz="4" w:space="0"/>
              <w:left w:val="single" w:color="auto" w:sz="4" w:space="0"/>
              <w:bottom w:val="single" w:color="auto" w:sz="4" w:space="0"/>
              <w:right w:val="single" w:color="auto" w:sz="4" w:space="0"/>
            </w:tcBorders>
          </w:tcPr>
          <w:p w14:paraId="7EF85E7D">
            <w:pPr>
              <w:spacing w:line="360" w:lineRule="auto"/>
              <w:rPr>
                <w:rFonts w:ascii="Times New Roman" w:hAnsi="Times New Roman" w:cs="Times New Roman"/>
              </w:rPr>
            </w:pPr>
            <w:r>
              <w:rPr>
                <w:rFonts w:hint="eastAsia" w:ascii="宋体" w:hAnsi="宋体" w:eastAsia="宋体" w:cs="宋体"/>
              </w:rPr>
              <w:t>总经理</w:t>
            </w:r>
          </w:p>
        </w:tc>
        <w:tc>
          <w:tcPr>
            <w:tcW w:w="879" w:type="pct"/>
            <w:tcBorders>
              <w:top w:val="single" w:color="auto" w:sz="4" w:space="0"/>
              <w:left w:val="single" w:color="auto" w:sz="4" w:space="0"/>
              <w:bottom w:val="single" w:color="auto" w:sz="4" w:space="0"/>
              <w:right w:val="single" w:color="auto" w:sz="4" w:space="0"/>
            </w:tcBorders>
          </w:tcPr>
          <w:p w14:paraId="194DDDDE">
            <w:pPr>
              <w:spacing w:line="360" w:lineRule="auto"/>
              <w:rPr>
                <w:rFonts w:ascii="Times New Roman" w:hAnsi="Times New Roman" w:cs="Times New Roman"/>
              </w:rPr>
            </w:pPr>
            <w:r>
              <w:rPr>
                <w:rFonts w:ascii="Times New Roman" w:hAnsi="Times New Roman" w:cs="Times New Roman"/>
              </w:rPr>
              <w:t>13703928623</w:t>
            </w:r>
          </w:p>
        </w:tc>
        <w:tc>
          <w:tcPr>
            <w:tcW w:w="1280" w:type="pct"/>
            <w:tcBorders>
              <w:top w:val="single" w:color="auto" w:sz="4" w:space="0"/>
              <w:left w:val="single" w:color="auto" w:sz="4" w:space="0"/>
              <w:bottom w:val="single" w:color="auto" w:sz="4" w:space="0"/>
              <w:right w:val="single" w:color="auto" w:sz="4" w:space="0"/>
            </w:tcBorders>
          </w:tcPr>
          <w:p w14:paraId="5B455C3F">
            <w:pPr>
              <w:spacing w:line="360" w:lineRule="auto"/>
              <w:rPr>
                <w:rFonts w:ascii="Times New Roman" w:hAnsi="Times New Roman" w:cs="Times New Roman"/>
              </w:rPr>
            </w:pPr>
            <w:r>
              <w:rPr>
                <w:rFonts w:hint="eastAsia" w:ascii="宋体" w:hAnsi="宋体" w:eastAsia="宋体" w:cs="宋体"/>
              </w:rPr>
              <w:t>第六节</w:t>
            </w:r>
          </w:p>
        </w:tc>
      </w:tr>
      <w:tr w14:paraId="3B0B8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247" w:type="pct"/>
            <w:tcBorders>
              <w:top w:val="single" w:color="auto" w:sz="4" w:space="0"/>
              <w:left w:val="single" w:color="auto" w:sz="4" w:space="0"/>
              <w:bottom w:val="single" w:color="auto" w:sz="4" w:space="0"/>
              <w:right w:val="single" w:color="auto" w:sz="4" w:space="0"/>
            </w:tcBorders>
            <w:shd w:val="clear" w:color="auto" w:fill="auto"/>
            <w:vAlign w:val="center"/>
          </w:tcPr>
          <w:p w14:paraId="46BB0B6B">
            <w:pPr>
              <w:spacing w:line="360" w:lineRule="auto"/>
              <w:jc w:val="center"/>
              <w:rPr>
                <w:rFonts w:ascii="Times New Roman" w:hAnsi="Times New Roman" w:eastAsia="Arial" w:cs="Times New Roman"/>
                <w:snapToGrid w:val="0"/>
                <w:color w:val="000000"/>
                <w:sz w:val="21"/>
                <w:szCs w:val="21"/>
                <w:lang w:val="en-US" w:eastAsia="en-US" w:bidi="ar-SA"/>
              </w:rPr>
            </w:pPr>
            <w:r>
              <w:rPr>
                <w:rFonts w:ascii="Times New Roman" w:hAnsi="Times New Roman" w:cs="Times New Roman"/>
              </w:rPr>
              <w:t>7</w:t>
            </w:r>
          </w:p>
        </w:tc>
        <w:tc>
          <w:tcPr>
            <w:tcW w:w="1120" w:type="pct"/>
            <w:tcBorders>
              <w:top w:val="single" w:color="auto" w:sz="4" w:space="0"/>
              <w:left w:val="single" w:color="auto" w:sz="4" w:space="0"/>
              <w:bottom w:val="single" w:color="auto" w:sz="4" w:space="0"/>
              <w:right w:val="single" w:color="auto" w:sz="4" w:space="0"/>
            </w:tcBorders>
          </w:tcPr>
          <w:p w14:paraId="10B1EAA1">
            <w:pPr>
              <w:spacing w:line="360" w:lineRule="auto"/>
              <w:ind w:right="560" w:firstLine="210" w:firstLineChars="100"/>
              <w:rPr>
                <w:rFonts w:ascii="Times New Roman" w:hAnsi="Times New Roman" w:cs="Times New Roman"/>
              </w:rPr>
            </w:pPr>
            <w:r>
              <w:rPr>
                <w:rFonts w:hint="eastAsia" w:ascii="宋体" w:hAnsi="宋体" w:eastAsia="宋体" w:cs="宋体"/>
              </w:rPr>
              <w:t>（参编）</w:t>
            </w:r>
          </w:p>
        </w:tc>
        <w:tc>
          <w:tcPr>
            <w:tcW w:w="613" w:type="pct"/>
            <w:tcBorders>
              <w:top w:val="single" w:color="auto" w:sz="4" w:space="0"/>
              <w:left w:val="single" w:color="auto" w:sz="4" w:space="0"/>
              <w:bottom w:val="single" w:color="auto" w:sz="4" w:space="0"/>
              <w:right w:val="single" w:color="auto" w:sz="4" w:space="0"/>
            </w:tcBorders>
          </w:tcPr>
          <w:p w14:paraId="1482E567">
            <w:pPr>
              <w:spacing w:line="360" w:lineRule="auto"/>
              <w:rPr>
                <w:rFonts w:ascii="Times New Roman" w:hAnsi="Times New Roman" w:cs="Times New Roman"/>
              </w:rPr>
            </w:pPr>
            <w:r>
              <w:rPr>
                <w:rFonts w:hint="eastAsia" w:ascii="宋体" w:hAnsi="宋体" w:eastAsia="宋体" w:cs="宋体"/>
              </w:rPr>
              <w:t>谭斌</w:t>
            </w:r>
          </w:p>
        </w:tc>
        <w:tc>
          <w:tcPr>
            <w:tcW w:w="858" w:type="pct"/>
            <w:tcBorders>
              <w:top w:val="single" w:color="auto" w:sz="4" w:space="0"/>
              <w:left w:val="single" w:color="auto" w:sz="4" w:space="0"/>
              <w:bottom w:val="single" w:color="auto" w:sz="4" w:space="0"/>
              <w:right w:val="single" w:color="auto" w:sz="4" w:space="0"/>
            </w:tcBorders>
          </w:tcPr>
          <w:p w14:paraId="7CA75BC2">
            <w:pPr>
              <w:spacing w:line="360" w:lineRule="auto"/>
              <w:rPr>
                <w:rFonts w:ascii="Times New Roman" w:hAnsi="Times New Roman" w:cs="Times New Roman"/>
              </w:rPr>
            </w:pPr>
            <w:r>
              <w:rPr>
                <w:rFonts w:hint="eastAsia" w:ascii="宋体" w:hAnsi="宋体" w:eastAsia="宋体" w:cs="宋体"/>
              </w:rPr>
              <w:t>主任</w:t>
            </w:r>
            <w:r>
              <w:rPr>
                <w:rFonts w:ascii="Times New Roman" w:hAnsi="Times New Roman" w:cs="Times New Roman"/>
              </w:rPr>
              <w:t>/</w:t>
            </w:r>
            <w:r>
              <w:rPr>
                <w:rFonts w:hint="eastAsia" w:ascii="宋体" w:hAnsi="宋体" w:eastAsia="宋体" w:cs="宋体"/>
              </w:rPr>
              <w:t>研究院</w:t>
            </w:r>
          </w:p>
        </w:tc>
        <w:tc>
          <w:tcPr>
            <w:tcW w:w="879" w:type="pct"/>
            <w:tcBorders>
              <w:top w:val="single" w:color="auto" w:sz="4" w:space="0"/>
              <w:left w:val="single" w:color="auto" w:sz="4" w:space="0"/>
              <w:bottom w:val="single" w:color="auto" w:sz="4" w:space="0"/>
              <w:right w:val="single" w:color="auto" w:sz="4" w:space="0"/>
            </w:tcBorders>
          </w:tcPr>
          <w:p w14:paraId="3B781C49">
            <w:pPr>
              <w:spacing w:line="360" w:lineRule="auto"/>
              <w:rPr>
                <w:rFonts w:ascii="Times New Roman" w:hAnsi="Times New Roman" w:cs="Times New Roman"/>
              </w:rPr>
            </w:pPr>
            <w:r>
              <w:rPr>
                <w:rFonts w:ascii="Times New Roman" w:hAnsi="Times New Roman" w:cs="Times New Roman"/>
              </w:rPr>
              <w:t>13261437257</w:t>
            </w:r>
          </w:p>
        </w:tc>
        <w:tc>
          <w:tcPr>
            <w:tcW w:w="1280" w:type="pct"/>
            <w:tcBorders>
              <w:top w:val="single" w:color="auto" w:sz="4" w:space="0"/>
              <w:left w:val="single" w:color="auto" w:sz="4" w:space="0"/>
              <w:bottom w:val="single" w:color="auto" w:sz="4" w:space="0"/>
              <w:right w:val="single" w:color="auto" w:sz="4" w:space="0"/>
            </w:tcBorders>
          </w:tcPr>
          <w:p w14:paraId="09E1EB46">
            <w:pPr>
              <w:spacing w:line="360" w:lineRule="auto"/>
              <w:rPr>
                <w:rFonts w:ascii="Times New Roman" w:hAnsi="Times New Roman" w:cs="Times New Roman"/>
              </w:rPr>
            </w:pPr>
            <w:r>
              <w:rPr>
                <w:rFonts w:hint="eastAsia" w:ascii="宋体" w:hAnsi="宋体" w:eastAsia="宋体" w:cs="宋体"/>
              </w:rPr>
              <w:t>第四节</w:t>
            </w:r>
          </w:p>
        </w:tc>
      </w:tr>
      <w:tr w14:paraId="014B7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247" w:type="pct"/>
            <w:tcBorders>
              <w:top w:val="single" w:color="auto" w:sz="4" w:space="0"/>
              <w:left w:val="single" w:color="auto" w:sz="4" w:space="0"/>
              <w:bottom w:val="single" w:color="auto" w:sz="4" w:space="0"/>
              <w:right w:val="single" w:color="auto" w:sz="4" w:space="0"/>
            </w:tcBorders>
            <w:shd w:val="clear" w:color="auto" w:fill="auto"/>
            <w:vAlign w:val="center"/>
          </w:tcPr>
          <w:p w14:paraId="450FAF4A">
            <w:pPr>
              <w:spacing w:line="360" w:lineRule="auto"/>
              <w:jc w:val="center"/>
              <w:rPr>
                <w:rFonts w:ascii="Times New Roman" w:hAnsi="Times New Roman" w:eastAsia="Arial" w:cs="Times New Roman"/>
                <w:snapToGrid w:val="0"/>
                <w:color w:val="000000"/>
                <w:sz w:val="21"/>
                <w:szCs w:val="21"/>
                <w:lang w:val="en-US" w:eastAsia="en-US" w:bidi="ar-SA"/>
              </w:rPr>
            </w:pPr>
            <w:r>
              <w:rPr>
                <w:rFonts w:ascii="Times New Roman" w:hAnsi="Times New Roman" w:cs="Times New Roman"/>
              </w:rPr>
              <w:t>8</w:t>
            </w:r>
          </w:p>
        </w:tc>
        <w:tc>
          <w:tcPr>
            <w:tcW w:w="1120" w:type="pct"/>
            <w:tcBorders>
              <w:top w:val="single" w:color="auto" w:sz="4" w:space="0"/>
              <w:left w:val="single" w:color="auto" w:sz="4" w:space="0"/>
              <w:bottom w:val="single" w:color="auto" w:sz="4" w:space="0"/>
              <w:right w:val="single" w:color="auto" w:sz="4" w:space="0"/>
            </w:tcBorders>
          </w:tcPr>
          <w:p w14:paraId="05C48D64">
            <w:pPr>
              <w:spacing w:line="360" w:lineRule="auto"/>
              <w:ind w:right="560" w:firstLine="210" w:firstLineChars="100"/>
              <w:rPr>
                <w:rFonts w:ascii="Times New Roman" w:hAnsi="Times New Roman" w:cs="Times New Roman"/>
              </w:rPr>
            </w:pPr>
            <w:r>
              <w:rPr>
                <w:rFonts w:hint="eastAsia" w:ascii="宋体" w:hAnsi="宋体" w:eastAsia="宋体" w:cs="宋体"/>
              </w:rPr>
              <w:t>（参编）</w:t>
            </w:r>
          </w:p>
        </w:tc>
        <w:tc>
          <w:tcPr>
            <w:tcW w:w="613" w:type="pct"/>
            <w:tcBorders>
              <w:top w:val="single" w:color="auto" w:sz="4" w:space="0"/>
              <w:left w:val="single" w:color="auto" w:sz="4" w:space="0"/>
              <w:bottom w:val="single" w:color="auto" w:sz="4" w:space="0"/>
              <w:right w:val="single" w:color="auto" w:sz="4" w:space="0"/>
            </w:tcBorders>
          </w:tcPr>
          <w:p w14:paraId="6070F132">
            <w:pPr>
              <w:spacing w:line="360" w:lineRule="auto"/>
              <w:rPr>
                <w:rFonts w:ascii="Times New Roman" w:hAnsi="Times New Roman" w:cs="Times New Roman"/>
              </w:rPr>
            </w:pPr>
            <w:r>
              <w:rPr>
                <w:rFonts w:hint="eastAsia" w:ascii="宋体" w:hAnsi="宋体" w:eastAsia="宋体" w:cs="宋体"/>
              </w:rPr>
              <w:t>董得平</w:t>
            </w:r>
          </w:p>
        </w:tc>
        <w:tc>
          <w:tcPr>
            <w:tcW w:w="858" w:type="pct"/>
            <w:tcBorders>
              <w:top w:val="single" w:color="auto" w:sz="4" w:space="0"/>
              <w:left w:val="single" w:color="auto" w:sz="4" w:space="0"/>
              <w:bottom w:val="single" w:color="auto" w:sz="4" w:space="0"/>
              <w:right w:val="single" w:color="auto" w:sz="4" w:space="0"/>
            </w:tcBorders>
          </w:tcPr>
          <w:p w14:paraId="67E1EA05">
            <w:pPr>
              <w:spacing w:line="360" w:lineRule="auto"/>
              <w:rPr>
                <w:rFonts w:ascii="Times New Roman" w:hAnsi="Times New Roman" w:cs="Times New Roman"/>
              </w:rPr>
            </w:pPr>
            <w:r>
              <w:rPr>
                <w:rFonts w:hint="eastAsia" w:ascii="宋体" w:hAnsi="宋体" w:eastAsia="宋体" w:cs="宋体"/>
              </w:rPr>
              <w:t>总经理</w:t>
            </w:r>
          </w:p>
        </w:tc>
        <w:tc>
          <w:tcPr>
            <w:tcW w:w="879" w:type="pct"/>
            <w:tcBorders>
              <w:top w:val="single" w:color="auto" w:sz="4" w:space="0"/>
              <w:left w:val="single" w:color="auto" w:sz="4" w:space="0"/>
              <w:bottom w:val="single" w:color="auto" w:sz="4" w:space="0"/>
              <w:right w:val="single" w:color="auto" w:sz="4" w:space="0"/>
            </w:tcBorders>
          </w:tcPr>
          <w:p w14:paraId="60DBC05E">
            <w:pPr>
              <w:spacing w:line="360" w:lineRule="auto"/>
              <w:rPr>
                <w:rFonts w:ascii="Times New Roman" w:hAnsi="Times New Roman" w:cs="Times New Roman"/>
              </w:rPr>
            </w:pPr>
            <w:r>
              <w:rPr>
                <w:rFonts w:ascii="Times New Roman" w:hAnsi="Times New Roman" w:cs="Times New Roman"/>
              </w:rPr>
              <w:t>13839205976</w:t>
            </w:r>
          </w:p>
        </w:tc>
        <w:tc>
          <w:tcPr>
            <w:tcW w:w="1280" w:type="pct"/>
            <w:tcBorders>
              <w:top w:val="single" w:color="auto" w:sz="4" w:space="0"/>
              <w:left w:val="single" w:color="auto" w:sz="4" w:space="0"/>
              <w:bottom w:val="single" w:color="auto" w:sz="4" w:space="0"/>
              <w:right w:val="single" w:color="auto" w:sz="4" w:space="0"/>
            </w:tcBorders>
          </w:tcPr>
          <w:p w14:paraId="696FCE55">
            <w:pPr>
              <w:spacing w:line="360" w:lineRule="auto"/>
              <w:rPr>
                <w:rFonts w:ascii="Times New Roman" w:hAnsi="Times New Roman" w:cs="Times New Roman"/>
              </w:rPr>
            </w:pPr>
            <w:r>
              <w:rPr>
                <w:rFonts w:hint="eastAsia" w:ascii="宋体" w:hAnsi="宋体" w:eastAsia="宋体" w:cs="宋体"/>
              </w:rPr>
              <w:t>第九节</w:t>
            </w:r>
          </w:p>
        </w:tc>
      </w:tr>
      <w:tr w14:paraId="4CD32E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jc w:val="center"/>
        </w:trPr>
        <w:tc>
          <w:tcPr>
            <w:tcW w:w="247" w:type="pct"/>
            <w:tcBorders>
              <w:top w:val="single" w:color="auto" w:sz="4" w:space="0"/>
              <w:left w:val="single" w:color="auto" w:sz="4" w:space="0"/>
              <w:bottom w:val="single" w:color="auto" w:sz="4" w:space="0"/>
              <w:right w:val="single" w:color="auto" w:sz="4" w:space="0"/>
            </w:tcBorders>
            <w:vAlign w:val="center"/>
          </w:tcPr>
          <w:p w14:paraId="479C093D">
            <w:pPr>
              <w:spacing w:line="360" w:lineRule="auto"/>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9</w:t>
            </w:r>
          </w:p>
        </w:tc>
        <w:tc>
          <w:tcPr>
            <w:tcW w:w="1120" w:type="pct"/>
            <w:tcBorders>
              <w:top w:val="single" w:color="auto" w:sz="4" w:space="0"/>
              <w:left w:val="single" w:color="auto" w:sz="4" w:space="0"/>
              <w:bottom w:val="single" w:color="auto" w:sz="4" w:space="0"/>
              <w:right w:val="single" w:color="auto" w:sz="4" w:space="0"/>
            </w:tcBorders>
          </w:tcPr>
          <w:p w14:paraId="481B35AA">
            <w:pPr>
              <w:spacing w:line="360" w:lineRule="auto"/>
              <w:ind w:right="560" w:firstLine="210" w:firstLineChars="100"/>
              <w:rPr>
                <w:rFonts w:ascii="Times New Roman" w:hAnsi="Times New Roman" w:cs="Times New Roman"/>
              </w:rPr>
            </w:pPr>
            <w:r>
              <w:rPr>
                <w:rFonts w:hint="eastAsia" w:ascii="宋体" w:hAnsi="宋体" w:eastAsia="宋体" w:cs="宋体"/>
              </w:rPr>
              <w:t>（参编）</w:t>
            </w:r>
          </w:p>
        </w:tc>
        <w:tc>
          <w:tcPr>
            <w:tcW w:w="613" w:type="pct"/>
            <w:tcBorders>
              <w:top w:val="single" w:color="auto" w:sz="4" w:space="0"/>
              <w:left w:val="single" w:color="auto" w:sz="4" w:space="0"/>
              <w:bottom w:val="single" w:color="auto" w:sz="4" w:space="0"/>
              <w:right w:val="single" w:color="auto" w:sz="4" w:space="0"/>
            </w:tcBorders>
          </w:tcPr>
          <w:p w14:paraId="56E68B28">
            <w:pPr>
              <w:spacing w:line="360" w:lineRule="auto"/>
              <w:rPr>
                <w:rFonts w:ascii="Times New Roman" w:hAnsi="Times New Roman" w:cs="Times New Roman"/>
              </w:rPr>
            </w:pPr>
            <w:r>
              <w:rPr>
                <w:rFonts w:hint="eastAsia" w:ascii="宋体" w:hAnsi="宋体" w:eastAsia="宋体" w:cs="宋体"/>
              </w:rPr>
              <w:t>朱合章</w:t>
            </w:r>
          </w:p>
        </w:tc>
        <w:tc>
          <w:tcPr>
            <w:tcW w:w="858" w:type="pct"/>
            <w:tcBorders>
              <w:top w:val="single" w:color="auto" w:sz="4" w:space="0"/>
              <w:left w:val="single" w:color="auto" w:sz="4" w:space="0"/>
              <w:bottom w:val="single" w:color="auto" w:sz="4" w:space="0"/>
              <w:right w:val="single" w:color="auto" w:sz="4" w:space="0"/>
            </w:tcBorders>
          </w:tcPr>
          <w:p w14:paraId="6575538C">
            <w:pPr>
              <w:spacing w:line="360" w:lineRule="auto"/>
              <w:rPr>
                <w:rFonts w:ascii="Times New Roman" w:hAnsi="Times New Roman" w:cs="Times New Roman"/>
              </w:rPr>
            </w:pPr>
            <w:r>
              <w:rPr>
                <w:rFonts w:hint="eastAsia" w:ascii="宋体" w:hAnsi="宋体" w:eastAsia="宋体" w:cs="宋体"/>
              </w:rPr>
              <w:t>总经理</w:t>
            </w:r>
          </w:p>
        </w:tc>
        <w:tc>
          <w:tcPr>
            <w:tcW w:w="879" w:type="pct"/>
            <w:tcBorders>
              <w:top w:val="single" w:color="auto" w:sz="4" w:space="0"/>
              <w:left w:val="single" w:color="auto" w:sz="4" w:space="0"/>
              <w:bottom w:val="single" w:color="auto" w:sz="4" w:space="0"/>
              <w:right w:val="single" w:color="auto" w:sz="4" w:space="0"/>
            </w:tcBorders>
          </w:tcPr>
          <w:p w14:paraId="61130FC7">
            <w:pPr>
              <w:spacing w:line="360" w:lineRule="auto"/>
              <w:rPr>
                <w:rFonts w:ascii="Times New Roman" w:hAnsi="Times New Roman" w:cs="Times New Roman"/>
              </w:rPr>
            </w:pPr>
            <w:r>
              <w:rPr>
                <w:rFonts w:ascii="Times New Roman" w:hAnsi="Times New Roman" w:cs="Times New Roman"/>
              </w:rPr>
              <w:t>15838646518</w:t>
            </w:r>
          </w:p>
        </w:tc>
        <w:tc>
          <w:tcPr>
            <w:tcW w:w="1280" w:type="pct"/>
            <w:tcBorders>
              <w:top w:val="single" w:color="auto" w:sz="4" w:space="0"/>
              <w:left w:val="single" w:color="auto" w:sz="4" w:space="0"/>
              <w:bottom w:val="single" w:color="auto" w:sz="4" w:space="0"/>
              <w:right w:val="single" w:color="auto" w:sz="4" w:space="0"/>
            </w:tcBorders>
          </w:tcPr>
          <w:p w14:paraId="3351310A">
            <w:pPr>
              <w:spacing w:line="360" w:lineRule="auto"/>
              <w:rPr>
                <w:rFonts w:ascii="Times New Roman" w:hAnsi="Times New Roman" w:cs="Times New Roman"/>
              </w:rPr>
            </w:pPr>
            <w:r>
              <w:rPr>
                <w:rFonts w:hint="eastAsia" w:ascii="宋体" w:hAnsi="宋体" w:eastAsia="宋体" w:cs="宋体"/>
              </w:rPr>
              <w:t>第二、三节</w:t>
            </w:r>
          </w:p>
        </w:tc>
      </w:tr>
    </w:tbl>
    <w:p w14:paraId="5C9CF470">
      <w:pPr>
        <w:widowControl w:val="0"/>
        <w:kinsoku/>
        <w:autoSpaceDE/>
        <w:autoSpaceDN/>
        <w:spacing w:line="500" w:lineRule="exact"/>
        <w:ind w:firstLine="562" w:firstLineChars="200"/>
        <w:jc w:val="both"/>
        <w:textAlignment w:val="auto"/>
        <w:rPr>
          <w:rFonts w:ascii="Times New Roman" w:hAnsi="Times New Roman" w:eastAsia="仿宋_GB2312" w:cs="Times New Roman"/>
          <w:sz w:val="28"/>
          <w:szCs w:val="28"/>
          <w:lang w:eastAsia="zh-CN"/>
        </w:rPr>
      </w:pPr>
      <w:r>
        <w:rPr>
          <w:rFonts w:ascii="Times New Roman" w:hAnsi="Times New Roman" w:eastAsia="仿宋_GB2312" w:cs="Times New Roman"/>
          <w:b/>
          <w:sz w:val="28"/>
          <w:szCs w:val="28"/>
          <w:lang w:eastAsia="zh-CN"/>
        </w:rPr>
        <w:t>2.标准编制原则和确定标准主要内容</w:t>
      </w:r>
      <w:r>
        <w:rPr>
          <w:rFonts w:ascii="Times New Roman" w:hAnsi="Times New Roman" w:eastAsia="仿宋_GB2312" w:cs="Times New Roman"/>
          <w:sz w:val="28"/>
          <w:szCs w:val="28"/>
          <w:lang w:eastAsia="zh-CN"/>
        </w:rPr>
        <w:t>（如技术指标、参数、公式、性能要求、试验方法、检验规则等）</w:t>
      </w:r>
      <w:r>
        <w:rPr>
          <w:rFonts w:ascii="Times New Roman" w:hAnsi="Times New Roman" w:eastAsia="仿宋_GB2312" w:cs="Times New Roman"/>
          <w:b/>
          <w:sz w:val="28"/>
          <w:szCs w:val="28"/>
          <w:lang w:eastAsia="zh-CN"/>
        </w:rPr>
        <w:t>的论据</w:t>
      </w:r>
      <w:r>
        <w:rPr>
          <w:rFonts w:ascii="Times New Roman" w:hAnsi="Times New Roman" w:eastAsia="仿宋_GB2312" w:cs="Times New Roman"/>
          <w:sz w:val="28"/>
          <w:szCs w:val="28"/>
          <w:lang w:eastAsia="zh-CN"/>
        </w:rPr>
        <w:t>（包括试验、统计数据）。修订标准时，应列出与原标准的主要差异和水平对比</w:t>
      </w:r>
    </w:p>
    <w:p w14:paraId="0C5A47BB">
      <w:pPr>
        <w:widowControl w:val="0"/>
        <w:kinsoku/>
        <w:autoSpaceDE/>
        <w:autoSpaceDN/>
        <w:spacing w:line="360" w:lineRule="auto"/>
        <w:ind w:firstLine="480" w:firstLineChars="20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标准制定的主要内容包括范围、规范性引用文件、术语和定义、原理、试剂、仪器和设备、分析步骤、结果计算和重复性等内容。</w:t>
      </w:r>
    </w:p>
    <w:p w14:paraId="7E7E78A4">
      <w:pPr>
        <w:pStyle w:val="12"/>
        <w:widowControl w:val="0"/>
        <w:numPr>
          <w:ilvl w:val="0"/>
          <w:numId w:val="2"/>
        </w:numPr>
        <w:kinsoku/>
        <w:autoSpaceDE/>
        <w:autoSpaceDN/>
        <w:spacing w:line="360" w:lineRule="auto"/>
        <w:ind w:firstLineChars="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范围</w:t>
      </w:r>
    </w:p>
    <w:p w14:paraId="54E7361F">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本文件规定了双酶法测定粮食中总淀粉含量的原理、试剂、仪器与设备、分析步骤、结果计算和精密度。</w:t>
      </w:r>
    </w:p>
    <w:p w14:paraId="4514178E">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本文件适用于粮食中总淀粉含量的测定。</w:t>
      </w:r>
    </w:p>
    <w:p w14:paraId="2ED889B0">
      <w:pPr>
        <w:pStyle w:val="12"/>
        <w:widowControl w:val="0"/>
        <w:numPr>
          <w:ilvl w:val="0"/>
          <w:numId w:val="2"/>
        </w:numPr>
        <w:kinsoku/>
        <w:autoSpaceDE/>
        <w:autoSpaceDN/>
        <w:spacing w:line="360" w:lineRule="auto"/>
        <w:ind w:firstLineChars="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规范性引用文件</w:t>
      </w:r>
    </w:p>
    <w:p w14:paraId="4426FC61">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GB/T 6882 </w:t>
      </w:r>
      <w:r>
        <w:rPr>
          <w:rFonts w:hint="eastAsia" w:ascii="Times New Roman" w:hAnsi="Times New Roman" w:eastAsia="宋体" w:cs="Times New Roman"/>
          <w:sz w:val="24"/>
          <w:szCs w:val="24"/>
          <w:lang w:eastAsia="zh-CN"/>
        </w:rPr>
        <w:t xml:space="preserve"> </w:t>
      </w:r>
      <w:r>
        <w:rPr>
          <w:rFonts w:ascii="Times New Roman" w:hAnsi="Times New Roman" w:eastAsia="宋体" w:cs="Times New Roman"/>
          <w:sz w:val="24"/>
          <w:szCs w:val="24"/>
          <w:lang w:eastAsia="zh-CN"/>
        </w:rPr>
        <w:t>分析实验室用水规格和试验方法。</w:t>
      </w:r>
    </w:p>
    <w:p w14:paraId="26ACEE1B">
      <w:pPr>
        <w:pStyle w:val="12"/>
        <w:widowControl w:val="0"/>
        <w:numPr>
          <w:ilvl w:val="0"/>
          <w:numId w:val="2"/>
        </w:numPr>
        <w:kinsoku/>
        <w:autoSpaceDE/>
        <w:autoSpaceDN/>
        <w:spacing w:line="360" w:lineRule="auto"/>
        <w:ind w:firstLineChars="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术语和定义</w:t>
      </w:r>
    </w:p>
    <w:p w14:paraId="5337459E">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下列术语和定义适用于本</w:t>
      </w:r>
      <w:r>
        <w:rPr>
          <w:rFonts w:hint="eastAsia" w:ascii="Times New Roman" w:hAnsi="Times New Roman" w:eastAsia="宋体" w:cs="Times New Roman"/>
          <w:sz w:val="24"/>
          <w:szCs w:val="24"/>
          <w:lang w:eastAsia="zh-CN"/>
        </w:rPr>
        <w:t>标准</w:t>
      </w:r>
      <w:r>
        <w:rPr>
          <w:rFonts w:ascii="Times New Roman" w:hAnsi="Times New Roman" w:eastAsia="宋体" w:cs="Times New Roman"/>
          <w:sz w:val="24"/>
          <w:szCs w:val="24"/>
          <w:lang w:eastAsia="zh-CN"/>
        </w:rPr>
        <w:t>。</w:t>
      </w:r>
    </w:p>
    <w:p w14:paraId="0A76A700">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3.1  耐高温α-淀粉酶 </w:t>
      </w:r>
      <w:r>
        <w:rPr>
          <w:rFonts w:hint="eastAsia" w:ascii="Times New Roman" w:hAnsi="Times New Roman" w:eastAsia="宋体" w:cs="Times New Roman"/>
          <w:sz w:val="24"/>
          <w:szCs w:val="24"/>
          <w:lang w:eastAsia="zh-CN"/>
        </w:rPr>
        <w:t xml:space="preserve"> </w:t>
      </w:r>
      <w:r>
        <w:rPr>
          <w:rFonts w:ascii="Times New Roman" w:hAnsi="Times New Roman" w:eastAsia="宋体" w:cs="Times New Roman"/>
          <w:sz w:val="24"/>
          <w:szCs w:val="24"/>
          <w:lang w:eastAsia="zh-CN"/>
        </w:rPr>
        <w:t>High temperature resistant α-amylase</w:t>
      </w:r>
    </w:p>
    <w:p w14:paraId="04F1745C">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一类能能水解液态淀粉中的α-1.4糖苷键和α-1.6糖苷键的α-淀粉酶。最适酶解85℃～95℃，通常在80~100℃均可发挥作用。采用诺维信淀粉酶Liquozyme Supra，其纯度为90 KNU/g。</w:t>
      </w:r>
    </w:p>
    <w:p w14:paraId="3E099A3B">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3.2  α-淀粉酶的活力单位  α-amylase activity unit</w:t>
      </w:r>
    </w:p>
    <w:p w14:paraId="116E94BD">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为液化酶的专有单位，l KNU的定义是指在37℃、pH5.6条件下每小时水解5.26 g淀粉的酶量。</w:t>
      </w:r>
    </w:p>
    <w:p w14:paraId="5A4CDF31">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3.3  淀粉葡萄糖苷酶  Amyloglucosidase  </w:t>
      </w:r>
    </w:p>
    <w:p w14:paraId="521B2E0C">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糖苷水解酶大家族中的一大类糖化酶，主要功能为水解淀粉葡萄糖苷键，释放出葡萄糖作为产物。采用诺维信淀粉葡萄糖苷酶Suhong GA II，，其纯度为500 AGU/mL。</w:t>
      </w:r>
    </w:p>
    <w:p w14:paraId="77C254A1">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3.4  葡萄糖苷酶的活力单位  Amyloglucosidase activity unit</w:t>
      </w:r>
    </w:p>
    <w:p w14:paraId="75358F42">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为糖化酶的专有单位，l AGU的定义是指在25℃、pH4.3标准条件下，每分钟水解1 mmol麦芽糖所需的酶量。</w:t>
      </w:r>
    </w:p>
    <w:p w14:paraId="22C5D109">
      <w:pPr>
        <w:pStyle w:val="12"/>
        <w:widowControl w:val="0"/>
        <w:numPr>
          <w:ilvl w:val="0"/>
          <w:numId w:val="2"/>
        </w:numPr>
        <w:kinsoku/>
        <w:autoSpaceDE/>
        <w:autoSpaceDN/>
        <w:spacing w:line="360" w:lineRule="auto"/>
        <w:ind w:firstLineChars="0"/>
        <w:jc w:val="both"/>
        <w:textAlignment w:val="auto"/>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原理</w:t>
      </w:r>
    </w:p>
    <w:p w14:paraId="19F11C11">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通过</w:t>
      </w:r>
      <w:r>
        <w:rPr>
          <w:rFonts w:ascii="Times New Roman" w:hAnsi="Times New Roman" w:eastAsia="宋体" w:cs="Times New Roman"/>
          <w:sz w:val="24"/>
          <w:szCs w:val="24"/>
          <w:lang w:eastAsia="zh-CN"/>
        </w:rPr>
        <w:t>耐高温α-淀粉酶和淀粉葡萄糖苷酶的联合作用，将粉碎后的粮食样品中的淀粉水解为葡萄糖，水解液通过0.22 μm滤膜过滤后，转移至液相专用进样瓶中，用HPLC分析葡萄糖含量。</w:t>
      </w:r>
    </w:p>
    <w:p w14:paraId="51CE6AD4">
      <w:pPr>
        <w:pStyle w:val="12"/>
        <w:widowControl w:val="0"/>
        <w:numPr>
          <w:ilvl w:val="0"/>
          <w:numId w:val="2"/>
        </w:numPr>
        <w:kinsoku/>
        <w:autoSpaceDE/>
        <w:autoSpaceDN/>
        <w:spacing w:line="360" w:lineRule="auto"/>
        <w:ind w:firstLineChars="0"/>
        <w:jc w:val="both"/>
        <w:textAlignment w:val="auto"/>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试剂</w:t>
      </w:r>
    </w:p>
    <w:p w14:paraId="76E518C2">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除非另有规定，本方法中所用试剂均为分析纯，试验用水为超纯水。</w:t>
      </w:r>
    </w:p>
    <w:p w14:paraId="4DF3D132">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5.1 </w:t>
      </w:r>
      <w:r>
        <w:rPr>
          <w:rFonts w:hint="eastAsia" w:ascii="Times New Roman" w:hAnsi="Times New Roman" w:eastAsia="宋体" w:cs="Times New Roman"/>
          <w:sz w:val="24"/>
          <w:szCs w:val="24"/>
          <w:lang w:eastAsia="zh-CN"/>
        </w:rPr>
        <w:t>耐高温α</w:t>
      </w:r>
      <w:r>
        <w:rPr>
          <w:rFonts w:ascii="Times New Roman" w:hAnsi="Times New Roman" w:eastAsia="宋体" w:cs="Times New Roman"/>
          <w:sz w:val="24"/>
          <w:szCs w:val="24"/>
          <w:lang w:eastAsia="zh-CN"/>
        </w:rPr>
        <w:t>-</w:t>
      </w:r>
      <w:r>
        <w:rPr>
          <w:rFonts w:hint="eastAsia" w:ascii="Times New Roman" w:hAnsi="Times New Roman" w:eastAsia="宋体" w:cs="Times New Roman"/>
          <w:sz w:val="24"/>
          <w:szCs w:val="24"/>
          <w:lang w:eastAsia="zh-CN"/>
        </w:rPr>
        <w:t>淀粉酶，</w:t>
      </w:r>
      <w:r>
        <w:rPr>
          <w:rFonts w:ascii="Times New Roman" w:hAnsi="Times New Roman" w:eastAsia="宋体" w:cs="Times New Roman"/>
          <w:sz w:val="24"/>
          <w:szCs w:val="24"/>
          <w:lang w:eastAsia="zh-CN"/>
        </w:rPr>
        <w:t>Liquozyme Supra 90 KNU/g</w:t>
      </w:r>
      <w:r>
        <w:rPr>
          <w:rFonts w:hint="eastAsia" w:ascii="Times New Roman" w:hAnsi="Times New Roman" w:eastAsia="宋体" w:cs="Times New Roman"/>
          <w:sz w:val="24"/>
          <w:szCs w:val="24"/>
          <w:lang w:eastAsia="zh-CN"/>
        </w:rPr>
        <w:t>，诺维信中国有限公司</w:t>
      </w:r>
    </w:p>
    <w:p w14:paraId="1DAD5BC9">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5.2 </w:t>
      </w:r>
      <w:r>
        <w:rPr>
          <w:rFonts w:hint="eastAsia" w:ascii="Times New Roman" w:hAnsi="Times New Roman" w:eastAsia="宋体" w:cs="Times New Roman"/>
          <w:sz w:val="24"/>
          <w:szCs w:val="24"/>
          <w:lang w:eastAsia="zh-CN"/>
        </w:rPr>
        <w:t>淀粉葡萄糖苷酶，</w:t>
      </w:r>
      <w:r>
        <w:rPr>
          <w:rFonts w:ascii="Times New Roman" w:hAnsi="Times New Roman" w:eastAsia="宋体" w:cs="Times New Roman"/>
          <w:sz w:val="24"/>
          <w:szCs w:val="24"/>
          <w:lang w:eastAsia="zh-CN"/>
        </w:rPr>
        <w:t>Suhong GA II 500 AGU/mL</w:t>
      </w:r>
      <w:r>
        <w:rPr>
          <w:rFonts w:hint="eastAsia" w:ascii="Times New Roman" w:hAnsi="Times New Roman" w:eastAsia="宋体" w:cs="Times New Roman"/>
          <w:sz w:val="24"/>
          <w:szCs w:val="24"/>
          <w:lang w:eastAsia="zh-CN"/>
        </w:rPr>
        <w:t>，诺维信中国有限公司</w:t>
      </w:r>
    </w:p>
    <w:p w14:paraId="1EA6E1B9">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5.3 </w:t>
      </w:r>
      <w:r>
        <w:rPr>
          <w:rFonts w:hint="eastAsia" w:ascii="Times New Roman" w:hAnsi="Times New Roman" w:eastAsia="宋体" w:cs="Times New Roman"/>
          <w:sz w:val="24"/>
          <w:szCs w:val="24"/>
          <w:lang w:eastAsia="zh-CN"/>
        </w:rPr>
        <w:t>乙酸钠溶液</w:t>
      </w:r>
    </w:p>
    <w:p w14:paraId="032E366D">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5.4 </w:t>
      </w:r>
      <w:r>
        <w:rPr>
          <w:rFonts w:hint="eastAsia" w:ascii="Times New Roman" w:hAnsi="Times New Roman" w:eastAsia="宋体" w:cs="Times New Roman"/>
          <w:sz w:val="24"/>
          <w:szCs w:val="24"/>
          <w:lang w:eastAsia="zh-CN"/>
        </w:rPr>
        <w:t>冰乙酸</w:t>
      </w:r>
    </w:p>
    <w:p w14:paraId="1EEA9A43">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5.5 </w:t>
      </w:r>
      <w:r>
        <w:rPr>
          <w:rFonts w:hint="eastAsia" w:ascii="Times New Roman" w:hAnsi="Times New Roman" w:eastAsia="宋体" w:cs="Times New Roman"/>
          <w:sz w:val="24"/>
          <w:szCs w:val="24"/>
          <w:lang w:eastAsia="zh-CN"/>
        </w:rPr>
        <w:t>硫酸：</w:t>
      </w:r>
      <w:r>
        <w:rPr>
          <w:rFonts w:ascii="Times New Roman" w:hAnsi="Times New Roman" w:eastAsia="宋体" w:cs="Times New Roman"/>
          <w:sz w:val="24"/>
          <w:szCs w:val="24"/>
          <w:lang w:eastAsia="zh-CN"/>
        </w:rPr>
        <w:t>0.005 N H</w:t>
      </w:r>
      <w:r>
        <w:rPr>
          <w:rFonts w:ascii="Times New Roman" w:hAnsi="Times New Roman" w:eastAsia="宋体" w:cs="Times New Roman"/>
          <w:sz w:val="24"/>
          <w:szCs w:val="24"/>
          <w:vertAlign w:val="subscript"/>
          <w:lang w:eastAsia="zh-CN"/>
        </w:rPr>
        <w:t>2</w:t>
      </w:r>
      <w:r>
        <w:rPr>
          <w:rFonts w:ascii="Times New Roman" w:hAnsi="Times New Roman" w:eastAsia="宋体" w:cs="Times New Roman"/>
          <w:sz w:val="24"/>
          <w:szCs w:val="24"/>
          <w:lang w:eastAsia="zh-CN"/>
        </w:rPr>
        <w:t>SO</w:t>
      </w:r>
      <w:r>
        <w:rPr>
          <w:rFonts w:ascii="Times New Roman" w:hAnsi="Times New Roman" w:eastAsia="宋体" w:cs="Times New Roman"/>
          <w:sz w:val="24"/>
          <w:szCs w:val="24"/>
          <w:vertAlign w:val="subscript"/>
          <w:lang w:eastAsia="zh-CN"/>
        </w:rPr>
        <w:t>4</w:t>
      </w:r>
      <w:r>
        <w:rPr>
          <w:rFonts w:ascii="Times New Roman" w:hAnsi="Times New Roman" w:eastAsia="宋体" w:cs="Times New Roman"/>
          <w:sz w:val="24"/>
          <w:szCs w:val="24"/>
          <w:lang w:eastAsia="zh-CN"/>
        </w:rPr>
        <w:t>。</w:t>
      </w:r>
    </w:p>
    <w:p w14:paraId="292CCBB1">
      <w:pPr>
        <w:pStyle w:val="12"/>
        <w:widowControl w:val="0"/>
        <w:numPr>
          <w:ilvl w:val="0"/>
          <w:numId w:val="2"/>
        </w:numPr>
        <w:kinsoku/>
        <w:autoSpaceDE/>
        <w:autoSpaceDN/>
        <w:spacing w:line="360" w:lineRule="auto"/>
        <w:ind w:firstLineChars="0"/>
        <w:jc w:val="both"/>
        <w:textAlignment w:val="auto"/>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仪器与设备</w:t>
      </w:r>
    </w:p>
    <w:p w14:paraId="368F1D7E">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6.1 </w:t>
      </w:r>
      <w:r>
        <w:rPr>
          <w:rFonts w:hint="eastAsia" w:ascii="Times New Roman" w:hAnsi="Times New Roman" w:eastAsia="宋体" w:cs="Times New Roman"/>
          <w:sz w:val="24"/>
          <w:szCs w:val="24"/>
          <w:lang w:eastAsia="zh-CN"/>
        </w:rPr>
        <w:t>分析天平</w:t>
      </w:r>
    </w:p>
    <w:p w14:paraId="2B6B3C99">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6.2 </w:t>
      </w:r>
      <w:r>
        <w:rPr>
          <w:rFonts w:hint="eastAsia" w:ascii="Times New Roman" w:hAnsi="Times New Roman" w:eastAsia="宋体" w:cs="Times New Roman"/>
          <w:sz w:val="24"/>
          <w:szCs w:val="24"/>
          <w:lang w:eastAsia="zh-CN"/>
        </w:rPr>
        <w:t>实验磨粉机</w:t>
      </w:r>
    </w:p>
    <w:p w14:paraId="4C007A8B">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6.3 </w:t>
      </w:r>
      <w:r>
        <w:rPr>
          <w:rFonts w:hint="eastAsia" w:ascii="Times New Roman" w:hAnsi="Times New Roman" w:eastAsia="宋体" w:cs="Times New Roman"/>
          <w:sz w:val="24"/>
          <w:szCs w:val="24"/>
          <w:lang w:eastAsia="zh-CN"/>
        </w:rPr>
        <w:t>电热鼓风干燥箱</w:t>
      </w:r>
    </w:p>
    <w:p w14:paraId="496A12D8">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6.4 </w:t>
      </w:r>
      <w:r>
        <w:rPr>
          <w:rFonts w:hint="eastAsia" w:ascii="Times New Roman" w:hAnsi="Times New Roman" w:eastAsia="宋体" w:cs="Times New Roman"/>
          <w:sz w:val="24"/>
          <w:szCs w:val="24"/>
          <w:lang w:eastAsia="zh-CN"/>
        </w:rPr>
        <w:t>磁力搅拌装置</w:t>
      </w:r>
    </w:p>
    <w:p w14:paraId="0561B4F9">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6.5 pH</w:t>
      </w:r>
      <w:r>
        <w:rPr>
          <w:rFonts w:hint="eastAsia" w:ascii="Times New Roman" w:hAnsi="Times New Roman" w:eastAsia="宋体" w:cs="Times New Roman"/>
          <w:sz w:val="24"/>
          <w:szCs w:val="24"/>
          <w:lang w:eastAsia="zh-CN"/>
        </w:rPr>
        <w:t>计</w:t>
      </w:r>
    </w:p>
    <w:p w14:paraId="10687965">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6.6 </w:t>
      </w:r>
      <w:r>
        <w:rPr>
          <w:rFonts w:hint="eastAsia" w:ascii="Times New Roman" w:hAnsi="Times New Roman" w:eastAsia="宋体" w:cs="Times New Roman"/>
          <w:sz w:val="24"/>
          <w:szCs w:val="24"/>
          <w:lang w:eastAsia="zh-CN"/>
        </w:rPr>
        <w:t>涡旋振荡器</w:t>
      </w:r>
    </w:p>
    <w:p w14:paraId="1305CF5E">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6.7 </w:t>
      </w:r>
      <w:r>
        <w:rPr>
          <w:rFonts w:hint="eastAsia" w:ascii="Times New Roman" w:hAnsi="Times New Roman" w:eastAsia="宋体" w:cs="Times New Roman"/>
          <w:sz w:val="24"/>
          <w:szCs w:val="24"/>
          <w:lang w:eastAsia="zh-CN"/>
        </w:rPr>
        <w:t>气浴摇床</w:t>
      </w:r>
    </w:p>
    <w:p w14:paraId="60F0FB0D">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6.8 </w:t>
      </w:r>
      <w:r>
        <w:rPr>
          <w:rFonts w:hint="eastAsia" w:ascii="Times New Roman" w:hAnsi="Times New Roman" w:eastAsia="宋体" w:cs="Times New Roman"/>
          <w:sz w:val="24"/>
          <w:szCs w:val="24"/>
          <w:lang w:eastAsia="zh-CN"/>
        </w:rPr>
        <w:t>离心机</w:t>
      </w:r>
    </w:p>
    <w:p w14:paraId="17DBFA84">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6.9 </w:t>
      </w:r>
      <w:r>
        <w:rPr>
          <w:rFonts w:hint="eastAsia" w:ascii="Times New Roman" w:hAnsi="Times New Roman" w:eastAsia="宋体" w:cs="Times New Roman"/>
          <w:sz w:val="24"/>
          <w:szCs w:val="24"/>
          <w:lang w:eastAsia="zh-CN"/>
        </w:rPr>
        <w:t>紫外可见光分光光度计</w:t>
      </w:r>
    </w:p>
    <w:p w14:paraId="6D2656CB">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6.10 </w:t>
      </w:r>
      <w:r>
        <w:rPr>
          <w:rFonts w:hint="eastAsia" w:ascii="Times New Roman" w:hAnsi="Times New Roman" w:eastAsia="宋体" w:cs="Times New Roman"/>
          <w:sz w:val="24"/>
          <w:szCs w:val="24"/>
          <w:lang w:eastAsia="zh-CN"/>
        </w:rPr>
        <w:t>气浴恒温摇床</w:t>
      </w:r>
    </w:p>
    <w:p w14:paraId="72DC9677">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6.11</w:t>
      </w:r>
      <w:r>
        <w:rPr>
          <w:rFonts w:hint="eastAsia" w:ascii="Times New Roman" w:hAnsi="Times New Roman" w:eastAsia="宋体" w:cs="Times New Roman"/>
          <w:sz w:val="24"/>
          <w:szCs w:val="24"/>
          <w:lang w:eastAsia="zh-CN"/>
        </w:rPr>
        <w:t>数控超声波清洗器</w:t>
      </w:r>
    </w:p>
    <w:p w14:paraId="138542A7">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6.12 </w:t>
      </w:r>
      <w:r>
        <w:rPr>
          <w:rFonts w:hint="eastAsia" w:ascii="Times New Roman" w:hAnsi="Times New Roman" w:eastAsia="宋体" w:cs="Times New Roman"/>
          <w:sz w:val="24"/>
          <w:szCs w:val="24"/>
          <w:lang w:eastAsia="zh-CN"/>
        </w:rPr>
        <w:t>纯水系统</w:t>
      </w:r>
    </w:p>
    <w:p w14:paraId="7A5AB809">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6.13 </w:t>
      </w:r>
      <w:r>
        <w:rPr>
          <w:rFonts w:hint="eastAsia" w:ascii="Times New Roman" w:hAnsi="Times New Roman" w:eastAsia="宋体" w:cs="Times New Roman"/>
          <w:sz w:val="24"/>
          <w:szCs w:val="24"/>
          <w:lang w:eastAsia="zh-CN"/>
        </w:rPr>
        <w:t>高效液相色谱仪</w:t>
      </w:r>
    </w:p>
    <w:p w14:paraId="05533A64">
      <w:pPr>
        <w:pStyle w:val="12"/>
        <w:widowControl w:val="0"/>
        <w:numPr>
          <w:ilvl w:val="0"/>
          <w:numId w:val="2"/>
        </w:numPr>
        <w:kinsoku/>
        <w:autoSpaceDE/>
        <w:autoSpaceDN/>
        <w:spacing w:line="360" w:lineRule="auto"/>
        <w:ind w:firstLineChars="0"/>
        <w:jc w:val="both"/>
        <w:textAlignment w:val="auto"/>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分析步骤</w:t>
      </w:r>
    </w:p>
    <w:p w14:paraId="64F3D163">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7.1 </w:t>
      </w:r>
      <w:r>
        <w:rPr>
          <w:rFonts w:hint="eastAsia" w:ascii="Times New Roman" w:hAnsi="Times New Roman" w:eastAsia="宋体" w:cs="Times New Roman"/>
          <w:sz w:val="24"/>
          <w:szCs w:val="24"/>
          <w:lang w:eastAsia="zh-CN"/>
        </w:rPr>
        <w:t>液化过程</w:t>
      </w:r>
    </w:p>
    <w:p w14:paraId="78B4B29B">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称取</w:t>
      </w:r>
      <w:r>
        <w:rPr>
          <w:rFonts w:ascii="Times New Roman" w:hAnsi="Times New Roman" w:eastAsia="宋体" w:cs="Times New Roman"/>
          <w:sz w:val="24"/>
          <w:szCs w:val="24"/>
          <w:lang w:eastAsia="zh-CN"/>
        </w:rPr>
        <w:t>50</w:t>
      </w:r>
      <w:r>
        <w:rPr>
          <w:rFonts w:hint="eastAsia" w:ascii="Times New Roman" w:hAnsi="Times New Roman" w:eastAsia="宋体" w:cs="Times New Roman"/>
          <w:sz w:val="24"/>
          <w:szCs w:val="24"/>
          <w:lang w:eastAsia="zh-CN"/>
        </w:rPr>
        <w:t>（±</w:t>
      </w:r>
      <w:r>
        <w:rPr>
          <w:rFonts w:ascii="Times New Roman" w:hAnsi="Times New Roman" w:eastAsia="宋体" w:cs="Times New Roman"/>
          <w:sz w:val="24"/>
          <w:szCs w:val="24"/>
          <w:lang w:eastAsia="zh-CN"/>
        </w:rPr>
        <w:t>5</w:t>
      </w:r>
      <w:r>
        <w:rPr>
          <w:rFonts w:hint="eastAsia" w:ascii="Times New Roman" w:hAnsi="Times New Roman" w:eastAsia="宋体" w:cs="Times New Roman"/>
          <w:sz w:val="24"/>
          <w:szCs w:val="24"/>
          <w:lang w:eastAsia="zh-CN"/>
        </w:rPr>
        <w:t>）</w:t>
      </w:r>
      <w:r>
        <w:rPr>
          <w:rFonts w:ascii="Times New Roman" w:hAnsi="Times New Roman" w:eastAsia="宋体" w:cs="Times New Roman"/>
          <w:sz w:val="24"/>
          <w:szCs w:val="24"/>
          <w:lang w:eastAsia="zh-CN"/>
        </w:rPr>
        <w:t>mg</w:t>
      </w:r>
      <w:r>
        <w:rPr>
          <w:rFonts w:hint="eastAsia" w:ascii="Times New Roman" w:hAnsi="Times New Roman" w:eastAsia="宋体" w:cs="Times New Roman"/>
          <w:sz w:val="24"/>
          <w:szCs w:val="24"/>
          <w:lang w:eastAsia="zh-CN"/>
        </w:rPr>
        <w:t>样品转移至</w:t>
      </w:r>
      <w:r>
        <w:rPr>
          <w:rFonts w:ascii="Times New Roman" w:hAnsi="Times New Roman" w:eastAsia="宋体" w:cs="Times New Roman"/>
          <w:sz w:val="24"/>
          <w:szCs w:val="24"/>
          <w:lang w:eastAsia="zh-CN"/>
        </w:rPr>
        <w:t>2 mL</w:t>
      </w:r>
      <w:r>
        <w:rPr>
          <w:rFonts w:hint="eastAsia" w:ascii="Times New Roman" w:hAnsi="Times New Roman" w:eastAsia="宋体" w:cs="Times New Roman"/>
          <w:sz w:val="24"/>
          <w:szCs w:val="24"/>
          <w:lang w:eastAsia="zh-CN"/>
        </w:rPr>
        <w:t>的微型离心管中，同时再取两支空的微型离心管作为空白对照；加入</w:t>
      </w:r>
      <w:r>
        <w:rPr>
          <w:rFonts w:ascii="Times New Roman" w:hAnsi="Times New Roman" w:eastAsia="宋体" w:cs="Times New Roman"/>
          <w:sz w:val="24"/>
          <w:szCs w:val="24"/>
          <w:lang w:eastAsia="zh-CN"/>
        </w:rPr>
        <w:t xml:space="preserve">1.5 mL </w:t>
      </w:r>
      <w:r>
        <w:rPr>
          <w:rFonts w:hint="eastAsia" w:ascii="Times New Roman" w:hAnsi="Times New Roman" w:eastAsia="宋体" w:cs="Times New Roman"/>
          <w:sz w:val="24"/>
          <w:szCs w:val="24"/>
          <w:lang w:eastAsia="zh-CN"/>
        </w:rPr>
        <w:t>耐高温</w:t>
      </w:r>
      <w:r>
        <w:rPr>
          <w:rFonts w:ascii="Times New Roman" w:hAnsi="Times New Roman" w:eastAsia="宋体" w:cs="Times New Roman"/>
          <w:sz w:val="24"/>
          <w:szCs w:val="24"/>
          <w:lang w:eastAsia="zh-CN"/>
        </w:rPr>
        <w:t>α-淀粉</w:t>
      </w:r>
      <w:r>
        <w:rPr>
          <w:rFonts w:hint="eastAsia" w:ascii="Times New Roman" w:hAnsi="Times New Roman" w:eastAsia="宋体" w:cs="Times New Roman"/>
          <w:sz w:val="24"/>
          <w:szCs w:val="24"/>
          <w:lang w:eastAsia="zh-CN"/>
        </w:rPr>
        <w:t>酶稀释液（实际添加量为</w:t>
      </w:r>
      <w:r>
        <w:rPr>
          <w:rFonts w:ascii="Times New Roman" w:hAnsi="Times New Roman" w:eastAsia="宋体" w:cs="Times New Roman"/>
          <w:sz w:val="24"/>
          <w:szCs w:val="24"/>
          <w:lang w:eastAsia="zh-CN"/>
        </w:rPr>
        <w:t>5 μL</w:t>
      </w:r>
      <w:r>
        <w:rPr>
          <w:rFonts w:hint="eastAsia" w:ascii="Times New Roman" w:hAnsi="Times New Roman" w:eastAsia="宋体" w:cs="Times New Roman"/>
          <w:sz w:val="24"/>
          <w:szCs w:val="24"/>
          <w:lang w:eastAsia="zh-CN"/>
        </w:rPr>
        <w:t>），涡旋震荡后，将离心管放入摇架，在</w:t>
      </w:r>
      <w:r>
        <w:rPr>
          <w:rFonts w:ascii="Times New Roman" w:hAnsi="Times New Roman" w:eastAsia="宋体" w:cs="Times New Roman"/>
          <w:sz w:val="24"/>
          <w:szCs w:val="24"/>
          <w:lang w:eastAsia="zh-CN"/>
        </w:rPr>
        <w:t>86</w:t>
      </w:r>
      <w:r>
        <w:rPr>
          <w:rFonts w:hint="eastAsia" w:ascii="Times New Roman" w:hAnsi="Times New Roman" w:eastAsia="宋体" w:cs="Times New Roman"/>
          <w:sz w:val="24"/>
          <w:szCs w:val="24"/>
          <w:lang w:eastAsia="zh-CN"/>
        </w:rPr>
        <w:t>℃下水解</w:t>
      </w:r>
      <w:r>
        <w:rPr>
          <w:rFonts w:ascii="Times New Roman" w:hAnsi="Times New Roman" w:eastAsia="宋体" w:cs="Times New Roman"/>
          <w:sz w:val="24"/>
          <w:szCs w:val="24"/>
          <w:lang w:eastAsia="zh-CN"/>
        </w:rPr>
        <w:t>30 min</w:t>
      </w:r>
      <w:r>
        <w:rPr>
          <w:rFonts w:hint="eastAsia" w:ascii="Times New Roman" w:hAnsi="Times New Roman" w:eastAsia="宋体" w:cs="Times New Roman"/>
          <w:sz w:val="24"/>
          <w:szCs w:val="24"/>
          <w:lang w:eastAsia="zh-CN"/>
        </w:rPr>
        <w:t>。</w:t>
      </w:r>
    </w:p>
    <w:p w14:paraId="4734D6E0">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7.2 </w:t>
      </w:r>
      <w:r>
        <w:rPr>
          <w:rFonts w:hint="eastAsia" w:ascii="Times New Roman" w:hAnsi="Times New Roman" w:eastAsia="宋体" w:cs="Times New Roman"/>
          <w:sz w:val="24"/>
          <w:szCs w:val="24"/>
          <w:lang w:eastAsia="zh-CN"/>
        </w:rPr>
        <w:t>糖化过程</w:t>
      </w:r>
    </w:p>
    <w:p w14:paraId="51241EE0">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液化结束后，拿出摇架，打开盖子以适当降低腔内温度，加入适量适当稀释的糖化酶液（改为α</w:t>
      </w:r>
      <w:r>
        <w:rPr>
          <w:rFonts w:ascii="Times New Roman" w:hAnsi="Times New Roman" w:eastAsia="宋体" w:cs="Times New Roman"/>
          <w:sz w:val="24"/>
          <w:szCs w:val="24"/>
          <w:lang w:eastAsia="zh-CN"/>
        </w:rPr>
        <w:t>-</w:t>
      </w:r>
      <w:r>
        <w:rPr>
          <w:rFonts w:hint="eastAsia" w:ascii="Times New Roman" w:hAnsi="Times New Roman" w:eastAsia="宋体" w:cs="Times New Roman"/>
          <w:sz w:val="24"/>
          <w:szCs w:val="24"/>
          <w:lang w:eastAsia="zh-CN"/>
        </w:rPr>
        <w:t>淀粉酶稀释液。且实际添加量为</w:t>
      </w:r>
      <w:r>
        <w:rPr>
          <w:rFonts w:ascii="Times New Roman" w:hAnsi="Times New Roman" w:eastAsia="宋体" w:cs="Times New Roman"/>
          <w:sz w:val="24"/>
          <w:szCs w:val="24"/>
          <w:lang w:eastAsia="zh-CN"/>
        </w:rPr>
        <w:t>10 μL</w:t>
      </w:r>
      <w:r>
        <w:rPr>
          <w:rFonts w:hint="eastAsia" w:ascii="Times New Roman" w:hAnsi="Times New Roman" w:eastAsia="宋体" w:cs="Times New Roman"/>
          <w:sz w:val="24"/>
          <w:szCs w:val="24"/>
          <w:lang w:eastAsia="zh-CN"/>
        </w:rPr>
        <w:t>），涡旋震荡后，将其放入摇架，在</w:t>
      </w:r>
      <w:r>
        <w:rPr>
          <w:rFonts w:ascii="Times New Roman" w:hAnsi="Times New Roman" w:eastAsia="宋体" w:cs="Times New Roman"/>
          <w:sz w:val="24"/>
          <w:szCs w:val="24"/>
          <w:lang w:eastAsia="zh-CN"/>
        </w:rPr>
        <w:t>68℃下</w:t>
      </w:r>
      <w:r>
        <w:rPr>
          <w:rFonts w:hint="eastAsia" w:ascii="Times New Roman" w:hAnsi="Times New Roman" w:eastAsia="宋体" w:cs="Times New Roman"/>
          <w:sz w:val="24"/>
          <w:szCs w:val="24"/>
          <w:lang w:eastAsia="zh-CN"/>
        </w:rPr>
        <w:t>水解适当时间（</w:t>
      </w:r>
      <w:r>
        <w:rPr>
          <w:rFonts w:ascii="Times New Roman" w:hAnsi="Times New Roman" w:eastAsia="宋体" w:cs="Times New Roman"/>
          <w:sz w:val="24"/>
          <w:szCs w:val="24"/>
          <w:lang w:eastAsia="zh-CN"/>
        </w:rPr>
        <w:t>60 min</w:t>
      </w:r>
      <w:r>
        <w:rPr>
          <w:rFonts w:hint="eastAsia" w:ascii="Times New Roman" w:hAnsi="Times New Roman" w:eastAsia="宋体" w:cs="Times New Roman"/>
          <w:sz w:val="24"/>
          <w:szCs w:val="24"/>
          <w:lang w:eastAsia="zh-CN"/>
        </w:rPr>
        <w:t>）。</w:t>
      </w:r>
    </w:p>
    <w:p w14:paraId="71C1467F">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7.3 </w:t>
      </w:r>
      <w:r>
        <w:rPr>
          <w:rFonts w:hint="eastAsia" w:ascii="Times New Roman" w:hAnsi="Times New Roman" w:eastAsia="宋体" w:cs="Times New Roman"/>
          <w:sz w:val="24"/>
          <w:szCs w:val="24"/>
          <w:lang w:eastAsia="zh-CN"/>
        </w:rPr>
        <w:t>葡萄糖测定</w:t>
      </w:r>
    </w:p>
    <w:p w14:paraId="1EBA6F26">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将上述淀粉水解液定容至</w:t>
      </w:r>
      <w:r>
        <w:rPr>
          <w:rFonts w:ascii="Times New Roman" w:hAnsi="Times New Roman" w:eastAsia="宋体" w:cs="Times New Roman"/>
          <w:sz w:val="24"/>
          <w:szCs w:val="24"/>
          <w:lang w:eastAsia="zh-CN"/>
        </w:rPr>
        <w:t>100 mL</w:t>
      </w:r>
      <w:r>
        <w:rPr>
          <w:rFonts w:hint="eastAsia" w:ascii="Times New Roman" w:hAnsi="Times New Roman" w:eastAsia="宋体" w:cs="Times New Roman"/>
          <w:sz w:val="24"/>
          <w:szCs w:val="24"/>
          <w:lang w:eastAsia="zh-CN"/>
        </w:rPr>
        <w:t>，混匀后用注射器吸取适量，通过</w:t>
      </w:r>
      <w:r>
        <w:rPr>
          <w:rFonts w:ascii="Times New Roman" w:hAnsi="Times New Roman" w:eastAsia="宋体" w:cs="Times New Roman"/>
          <w:sz w:val="24"/>
          <w:szCs w:val="24"/>
          <w:lang w:eastAsia="zh-CN"/>
        </w:rPr>
        <w:t>0.22 μm</w:t>
      </w:r>
      <w:r>
        <w:rPr>
          <w:rFonts w:hint="eastAsia" w:ascii="Times New Roman" w:hAnsi="Times New Roman" w:eastAsia="宋体" w:cs="Times New Roman"/>
          <w:sz w:val="24"/>
          <w:szCs w:val="24"/>
          <w:lang w:eastAsia="zh-CN"/>
        </w:rPr>
        <w:t>滤膜过滤后，转移至液相专用进样瓶中，用于</w:t>
      </w:r>
      <w:r>
        <w:rPr>
          <w:rFonts w:ascii="Times New Roman" w:hAnsi="Times New Roman" w:eastAsia="宋体" w:cs="Times New Roman"/>
          <w:sz w:val="24"/>
          <w:szCs w:val="24"/>
          <w:lang w:eastAsia="zh-CN"/>
        </w:rPr>
        <w:t>HPLC</w:t>
      </w:r>
      <w:r>
        <w:rPr>
          <w:rFonts w:hint="eastAsia" w:ascii="Times New Roman" w:hAnsi="Times New Roman" w:eastAsia="宋体" w:cs="Times New Roman"/>
          <w:sz w:val="24"/>
          <w:szCs w:val="24"/>
          <w:lang w:eastAsia="zh-CN"/>
        </w:rPr>
        <w:t>分析。色谱分析条件：色谱柱：</w:t>
      </w:r>
      <w:r>
        <w:rPr>
          <w:rFonts w:ascii="Times New Roman" w:hAnsi="Times New Roman" w:eastAsia="宋体" w:cs="Times New Roman"/>
          <w:sz w:val="24"/>
          <w:szCs w:val="24"/>
          <w:lang w:eastAsia="zh-CN"/>
        </w:rPr>
        <w:t>H</w:t>
      </w:r>
      <w:r>
        <w:rPr>
          <w:rFonts w:ascii="Times New Roman" w:hAnsi="Times New Roman" w:eastAsia="宋体" w:cs="Times New Roman"/>
          <w:sz w:val="24"/>
          <w:szCs w:val="24"/>
          <w:vertAlign w:val="superscript"/>
          <w:lang w:eastAsia="zh-CN"/>
        </w:rPr>
        <w:t>+</w:t>
      </w:r>
      <w:r>
        <w:rPr>
          <w:rFonts w:hint="eastAsia" w:ascii="Times New Roman" w:hAnsi="Times New Roman" w:eastAsia="宋体" w:cs="Times New Roman"/>
          <w:sz w:val="24"/>
          <w:szCs w:val="24"/>
          <w:lang w:eastAsia="zh-CN"/>
        </w:rPr>
        <w:t>型阳离子交换色谱柱（</w:t>
      </w:r>
      <w:r>
        <w:rPr>
          <w:rFonts w:ascii="Times New Roman" w:hAnsi="Times New Roman" w:eastAsia="宋体" w:cs="Times New Roman"/>
          <w:sz w:val="24"/>
          <w:szCs w:val="24"/>
          <w:lang w:eastAsia="zh-CN"/>
        </w:rPr>
        <w:t>Phenomenex, Torrance, CA</w:t>
      </w:r>
      <w:r>
        <w:rPr>
          <w:rFonts w:hint="eastAsia" w:ascii="Times New Roman" w:hAnsi="Times New Roman" w:eastAsia="宋体" w:cs="Times New Roman"/>
          <w:sz w:val="24"/>
          <w:szCs w:val="24"/>
          <w:lang w:eastAsia="zh-CN"/>
        </w:rPr>
        <w:t>），</w:t>
      </w:r>
      <w:r>
        <w:rPr>
          <w:rFonts w:ascii="Times New Roman" w:hAnsi="Times New Roman" w:eastAsia="宋体" w:cs="Times New Roman"/>
          <w:sz w:val="24"/>
          <w:szCs w:val="24"/>
          <w:lang w:eastAsia="zh-CN"/>
        </w:rPr>
        <w:t>Rezex RCM 300×7.8 mm</w:t>
      </w:r>
      <w:r>
        <w:rPr>
          <w:rFonts w:hint="eastAsia" w:ascii="Times New Roman" w:hAnsi="Times New Roman" w:eastAsia="宋体" w:cs="Times New Roman"/>
          <w:sz w:val="24"/>
          <w:szCs w:val="24"/>
          <w:lang w:eastAsia="zh-CN"/>
        </w:rPr>
        <w:t>，柱温</w:t>
      </w:r>
      <w:r>
        <w:rPr>
          <w:rFonts w:ascii="Times New Roman" w:hAnsi="Times New Roman" w:eastAsia="宋体" w:cs="Times New Roman"/>
          <w:sz w:val="24"/>
          <w:szCs w:val="24"/>
          <w:lang w:eastAsia="zh-CN"/>
        </w:rPr>
        <w:t>65</w:t>
      </w:r>
      <w:r>
        <w:rPr>
          <w:rFonts w:hint="eastAsia" w:ascii="Times New Roman" w:hAnsi="Times New Roman" w:eastAsia="宋体" w:cs="Times New Roman"/>
          <w:sz w:val="24"/>
          <w:szCs w:val="24"/>
          <w:lang w:eastAsia="zh-CN"/>
        </w:rPr>
        <w:t>℃；检测器：示差折光检测器，温度</w:t>
      </w:r>
      <w:r>
        <w:rPr>
          <w:rFonts w:ascii="Times New Roman" w:hAnsi="Times New Roman" w:eastAsia="宋体" w:cs="Times New Roman"/>
          <w:sz w:val="24"/>
          <w:szCs w:val="24"/>
          <w:lang w:eastAsia="zh-CN"/>
        </w:rPr>
        <w:t>40</w:t>
      </w:r>
      <w:r>
        <w:rPr>
          <w:rFonts w:hint="eastAsia" w:ascii="Times New Roman" w:hAnsi="Times New Roman" w:eastAsia="宋体" w:cs="Times New Roman"/>
          <w:sz w:val="24"/>
          <w:szCs w:val="24"/>
          <w:lang w:eastAsia="zh-CN"/>
        </w:rPr>
        <w:t>℃；流动相：</w:t>
      </w:r>
      <w:r>
        <w:rPr>
          <w:rFonts w:ascii="Times New Roman" w:hAnsi="Times New Roman" w:eastAsia="宋体" w:cs="Times New Roman"/>
          <w:sz w:val="24"/>
          <w:szCs w:val="24"/>
          <w:lang w:eastAsia="zh-CN"/>
        </w:rPr>
        <w:t>0.005 N H2SO4</w:t>
      </w:r>
      <w:r>
        <w:rPr>
          <w:rFonts w:hint="eastAsia" w:ascii="Times New Roman" w:hAnsi="Times New Roman" w:eastAsia="宋体" w:cs="Times New Roman"/>
          <w:sz w:val="24"/>
          <w:szCs w:val="24"/>
          <w:lang w:eastAsia="zh-CN"/>
        </w:rPr>
        <w:t>，流速</w:t>
      </w:r>
      <w:r>
        <w:rPr>
          <w:rFonts w:ascii="Times New Roman" w:hAnsi="Times New Roman" w:eastAsia="宋体" w:cs="Times New Roman"/>
          <w:sz w:val="24"/>
          <w:szCs w:val="24"/>
          <w:lang w:eastAsia="zh-CN"/>
        </w:rPr>
        <w:t>0.6 mL/min</w:t>
      </w:r>
      <w:r>
        <w:rPr>
          <w:rFonts w:hint="eastAsia" w:ascii="Times New Roman" w:hAnsi="Times New Roman" w:eastAsia="宋体" w:cs="Times New Roman"/>
          <w:sz w:val="24"/>
          <w:szCs w:val="24"/>
          <w:lang w:eastAsia="zh-CN"/>
        </w:rPr>
        <w:t>；进样量：</w:t>
      </w:r>
      <w:r>
        <w:rPr>
          <w:rFonts w:ascii="Times New Roman" w:hAnsi="Times New Roman" w:eastAsia="宋体" w:cs="Times New Roman"/>
          <w:sz w:val="24"/>
          <w:szCs w:val="24"/>
          <w:lang w:eastAsia="zh-CN"/>
        </w:rPr>
        <w:t>20 µL</w:t>
      </w:r>
      <w:r>
        <w:rPr>
          <w:rFonts w:hint="eastAsia" w:ascii="Times New Roman" w:hAnsi="Times New Roman" w:eastAsia="宋体" w:cs="Times New Roman"/>
          <w:sz w:val="24"/>
          <w:szCs w:val="24"/>
          <w:lang w:eastAsia="zh-CN"/>
        </w:rPr>
        <w:t>。</w:t>
      </w:r>
    </w:p>
    <w:p w14:paraId="7146C5C4">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7.4 </w:t>
      </w:r>
      <w:r>
        <w:rPr>
          <w:rFonts w:hint="eastAsia" w:ascii="Times New Roman" w:hAnsi="Times New Roman" w:eastAsia="宋体" w:cs="Times New Roman"/>
          <w:sz w:val="24"/>
          <w:szCs w:val="24"/>
          <w:lang w:eastAsia="zh-CN"/>
        </w:rPr>
        <w:t>葡萄糖标准曲线的绘制</w:t>
      </w:r>
    </w:p>
    <w:p w14:paraId="431DDC8D">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准确称取一水葡萄糖</w:t>
      </w:r>
      <w:r>
        <w:rPr>
          <w:rFonts w:ascii="Times New Roman" w:hAnsi="Times New Roman" w:eastAsia="宋体" w:cs="Times New Roman"/>
          <w:sz w:val="24"/>
          <w:szCs w:val="24"/>
          <w:lang w:eastAsia="zh-CN"/>
        </w:rPr>
        <w:t>0.1 g</w:t>
      </w:r>
      <w:r>
        <w:rPr>
          <w:rFonts w:hint="eastAsia" w:ascii="Times New Roman" w:hAnsi="Times New Roman" w:eastAsia="宋体" w:cs="Times New Roman"/>
          <w:sz w:val="24"/>
          <w:szCs w:val="24"/>
          <w:lang w:eastAsia="zh-CN"/>
        </w:rPr>
        <w:t>左右（精确至</w:t>
      </w:r>
      <w:r>
        <w:rPr>
          <w:rFonts w:ascii="Times New Roman" w:hAnsi="Times New Roman" w:eastAsia="宋体" w:cs="Times New Roman"/>
          <w:sz w:val="24"/>
          <w:szCs w:val="24"/>
          <w:lang w:eastAsia="zh-CN"/>
        </w:rPr>
        <w:t>0.1 mg</w:t>
      </w:r>
      <w:r>
        <w:rPr>
          <w:rFonts w:hint="eastAsia" w:ascii="Times New Roman" w:hAnsi="Times New Roman" w:eastAsia="宋体" w:cs="Times New Roman"/>
          <w:sz w:val="24"/>
          <w:szCs w:val="24"/>
          <w:lang w:eastAsia="zh-CN"/>
        </w:rPr>
        <w:t>），并用纯水定容至</w:t>
      </w:r>
      <w:r>
        <w:rPr>
          <w:rFonts w:ascii="Times New Roman" w:hAnsi="Times New Roman" w:eastAsia="宋体" w:cs="Times New Roman"/>
          <w:sz w:val="24"/>
          <w:szCs w:val="24"/>
          <w:lang w:eastAsia="zh-CN"/>
        </w:rPr>
        <w:t>100 mL</w:t>
      </w:r>
      <w:r>
        <w:rPr>
          <w:rFonts w:hint="eastAsia" w:ascii="Times New Roman" w:hAnsi="Times New Roman" w:eastAsia="宋体" w:cs="Times New Roman"/>
          <w:sz w:val="24"/>
          <w:szCs w:val="24"/>
          <w:lang w:eastAsia="zh-CN"/>
        </w:rPr>
        <w:t>，配制成</w:t>
      </w:r>
      <w:r>
        <w:rPr>
          <w:rFonts w:ascii="Times New Roman" w:hAnsi="Times New Roman" w:eastAsia="宋体" w:cs="Times New Roman"/>
          <w:sz w:val="24"/>
          <w:szCs w:val="24"/>
          <w:lang w:eastAsia="zh-CN"/>
        </w:rPr>
        <w:t>1 mg/mL</w:t>
      </w:r>
      <w:r>
        <w:rPr>
          <w:rFonts w:hint="eastAsia" w:ascii="Times New Roman" w:hAnsi="Times New Roman" w:eastAsia="宋体" w:cs="Times New Roman"/>
          <w:sz w:val="24"/>
          <w:szCs w:val="24"/>
          <w:lang w:eastAsia="zh-CN"/>
        </w:rPr>
        <w:t>左右的标准贮备液，并用纯水依次稀释配制成浓度分别为</w:t>
      </w:r>
      <w:r>
        <w:rPr>
          <w:rFonts w:ascii="Times New Roman" w:hAnsi="Times New Roman" w:eastAsia="宋体" w:cs="Times New Roman"/>
          <w:sz w:val="24"/>
          <w:szCs w:val="24"/>
          <w:lang w:eastAsia="zh-CN"/>
        </w:rPr>
        <w:t>0.2</w:t>
      </w:r>
      <w:r>
        <w:rPr>
          <w:rFonts w:hint="eastAsia" w:ascii="Times New Roman" w:hAnsi="Times New Roman" w:eastAsia="宋体" w:cs="Times New Roman"/>
          <w:sz w:val="24"/>
          <w:szCs w:val="24"/>
          <w:lang w:eastAsia="zh-CN"/>
        </w:rPr>
        <w:t>、</w:t>
      </w:r>
      <w:r>
        <w:rPr>
          <w:rFonts w:ascii="Times New Roman" w:hAnsi="Times New Roman" w:eastAsia="宋体" w:cs="Times New Roman"/>
          <w:sz w:val="24"/>
          <w:szCs w:val="24"/>
          <w:lang w:eastAsia="zh-CN"/>
        </w:rPr>
        <w:t>0.4</w:t>
      </w:r>
      <w:r>
        <w:rPr>
          <w:rFonts w:hint="eastAsia" w:ascii="Times New Roman" w:hAnsi="Times New Roman" w:eastAsia="宋体" w:cs="Times New Roman"/>
          <w:sz w:val="24"/>
          <w:szCs w:val="24"/>
          <w:lang w:eastAsia="zh-CN"/>
        </w:rPr>
        <w:t>、</w:t>
      </w:r>
      <w:r>
        <w:rPr>
          <w:rFonts w:ascii="Times New Roman" w:hAnsi="Times New Roman" w:eastAsia="宋体" w:cs="Times New Roman"/>
          <w:sz w:val="24"/>
          <w:szCs w:val="24"/>
          <w:lang w:eastAsia="zh-CN"/>
        </w:rPr>
        <w:t>0.6</w:t>
      </w:r>
      <w:r>
        <w:rPr>
          <w:rFonts w:hint="eastAsia" w:ascii="Times New Roman" w:hAnsi="Times New Roman" w:eastAsia="宋体" w:cs="Times New Roman"/>
          <w:sz w:val="24"/>
          <w:szCs w:val="24"/>
          <w:lang w:eastAsia="zh-CN"/>
        </w:rPr>
        <w:t>、</w:t>
      </w:r>
      <w:r>
        <w:rPr>
          <w:rFonts w:ascii="Times New Roman" w:hAnsi="Times New Roman" w:eastAsia="宋体" w:cs="Times New Roman"/>
          <w:sz w:val="24"/>
          <w:szCs w:val="24"/>
          <w:lang w:eastAsia="zh-CN"/>
        </w:rPr>
        <w:t>0.8</w:t>
      </w:r>
      <w:r>
        <w:rPr>
          <w:rFonts w:hint="eastAsia" w:ascii="Times New Roman" w:hAnsi="Times New Roman" w:eastAsia="宋体" w:cs="Times New Roman"/>
          <w:sz w:val="24"/>
          <w:szCs w:val="24"/>
          <w:lang w:eastAsia="zh-CN"/>
        </w:rPr>
        <w:t>、</w:t>
      </w:r>
      <w:r>
        <w:rPr>
          <w:rFonts w:ascii="Times New Roman" w:hAnsi="Times New Roman" w:eastAsia="宋体" w:cs="Times New Roman"/>
          <w:sz w:val="24"/>
          <w:szCs w:val="24"/>
          <w:lang w:eastAsia="zh-CN"/>
        </w:rPr>
        <w:t>1 mg/mL</w:t>
      </w:r>
      <w:r>
        <w:rPr>
          <w:rFonts w:hint="eastAsia" w:ascii="Times New Roman" w:hAnsi="Times New Roman" w:eastAsia="宋体" w:cs="Times New Roman"/>
          <w:sz w:val="24"/>
          <w:szCs w:val="24"/>
          <w:lang w:eastAsia="zh-CN"/>
        </w:rPr>
        <w:t>左右的系列标准葡萄糖溶液。样品色谱分析前经</w:t>
      </w:r>
      <w:r>
        <w:rPr>
          <w:rFonts w:ascii="Times New Roman" w:hAnsi="Times New Roman" w:eastAsia="宋体" w:cs="Times New Roman"/>
          <w:sz w:val="24"/>
          <w:szCs w:val="24"/>
          <w:lang w:eastAsia="zh-CN"/>
        </w:rPr>
        <w:t>0.22 μm</w:t>
      </w:r>
      <w:r>
        <w:rPr>
          <w:rFonts w:hint="eastAsia" w:ascii="Times New Roman" w:hAnsi="Times New Roman" w:eastAsia="宋体" w:cs="Times New Roman"/>
          <w:sz w:val="24"/>
          <w:szCs w:val="24"/>
          <w:lang w:eastAsia="zh-CN"/>
        </w:rPr>
        <w:t>微孔滤膜过滤。以葡萄糖标准溶液的浓度为横坐标（</w:t>
      </w:r>
      <w:r>
        <w:rPr>
          <w:rFonts w:ascii="Times New Roman" w:hAnsi="Times New Roman" w:eastAsia="宋体" w:cs="Times New Roman"/>
          <w:sz w:val="24"/>
          <w:szCs w:val="24"/>
          <w:lang w:eastAsia="zh-CN"/>
        </w:rPr>
        <w:t>X</w:t>
      </w:r>
      <w:r>
        <w:rPr>
          <w:rFonts w:hint="eastAsia" w:ascii="Times New Roman" w:hAnsi="Times New Roman" w:eastAsia="宋体" w:cs="Times New Roman"/>
          <w:sz w:val="24"/>
          <w:szCs w:val="24"/>
          <w:lang w:eastAsia="zh-CN"/>
        </w:rPr>
        <w:t>），标准样品的色谱峰面积为纵坐标（</w:t>
      </w:r>
      <w:r>
        <w:rPr>
          <w:rFonts w:ascii="Times New Roman" w:hAnsi="Times New Roman" w:eastAsia="宋体" w:cs="Times New Roman"/>
          <w:sz w:val="24"/>
          <w:szCs w:val="24"/>
          <w:lang w:eastAsia="zh-CN"/>
        </w:rPr>
        <w:t>Y</w:t>
      </w:r>
      <w:r>
        <w:rPr>
          <w:rFonts w:hint="eastAsia" w:ascii="Times New Roman" w:hAnsi="Times New Roman" w:eastAsia="宋体" w:cs="Times New Roman"/>
          <w:sz w:val="24"/>
          <w:szCs w:val="24"/>
          <w:lang w:eastAsia="zh-CN"/>
        </w:rPr>
        <w:t>），绘制葡萄糖溶液标准曲线。</w:t>
      </w:r>
    </w:p>
    <w:p w14:paraId="6BA2D9DF">
      <w:pPr>
        <w:pStyle w:val="12"/>
        <w:widowControl w:val="0"/>
        <w:numPr>
          <w:ilvl w:val="0"/>
          <w:numId w:val="2"/>
        </w:numPr>
        <w:kinsoku/>
        <w:autoSpaceDE/>
        <w:autoSpaceDN/>
        <w:spacing w:line="360" w:lineRule="auto"/>
        <w:ind w:firstLineChars="0"/>
        <w:jc w:val="both"/>
        <w:textAlignment w:val="auto"/>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结果计算</w:t>
      </w:r>
    </w:p>
    <w:p w14:paraId="618D393E">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对样品水解液进行液相色谱分析，根据标准曲线计算其葡萄糖含量，并折算为淀粉含量。计算公式：</w:t>
      </w:r>
    </w:p>
    <w:p w14:paraId="01D9FBD5">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淀粉含量（干基，</w:t>
      </w:r>
      <w:r>
        <w:rPr>
          <w:rFonts w:ascii="Times New Roman" w:hAnsi="Times New Roman" w:eastAsia="宋体" w:cs="Times New Roman"/>
          <w:sz w:val="24"/>
          <w:szCs w:val="24"/>
          <w:lang w:eastAsia="zh-CN"/>
        </w:rPr>
        <w:t>%</w:t>
      </w:r>
      <w:r>
        <w:rPr>
          <w:rFonts w:hint="eastAsia" w:ascii="Times New Roman" w:hAnsi="Times New Roman" w:eastAsia="宋体" w:cs="Times New Roman"/>
          <w:sz w:val="24"/>
          <w:szCs w:val="24"/>
          <w:lang w:eastAsia="zh-CN"/>
        </w:rPr>
        <w:t>）</w:t>
      </w:r>
      <w:r>
        <w:rPr>
          <w:rFonts w:ascii="Times New Roman" w:hAnsi="Times New Roman" w:eastAsia="宋体" w:cs="Times New Roman"/>
          <w:sz w:val="24"/>
          <w:szCs w:val="24"/>
          <w:lang w:eastAsia="zh-CN"/>
        </w:rPr>
        <w:t xml:space="preserve">= </w:t>
      </w:r>
      <w:r>
        <w:rPr>
          <w:rFonts w:ascii="Times New Roman"/>
          <w:position w:val="-28"/>
          <w:sz w:val="24"/>
        </w:rPr>
        <w:object>
          <v:shape id="_x0000_i1025" o:spt="75" type="#_x0000_t75" style="height:33pt;width:162.6pt;" o:ole="t" filled="f" o:preferrelative="t" stroked="f" coordsize="21600,21600">
            <v:path/>
            <v:fill on="f" focussize="0,0"/>
            <v:stroke on="f" joinstyle="miter"/>
            <v:imagedata r:id="rId5" o:title=""/>
            <o:lock v:ext="edit" aspectratio="t"/>
            <w10:wrap type="none"/>
            <w10:anchorlock/>
          </v:shape>
          <o:OLEObject Type="Embed" ProgID="Equation.DSMT4" ShapeID="_x0000_i1025" DrawAspect="Content" ObjectID="_1468075725" r:id="rId4">
            <o:LockedField>false</o:LockedField>
          </o:OLEObject>
        </w:object>
      </w:r>
    </w:p>
    <w:p w14:paraId="229EDAF8">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式中：</w:t>
      </w:r>
    </w:p>
    <w:p w14:paraId="4343259A">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c——</w:t>
      </w:r>
      <w:r>
        <w:rPr>
          <w:rFonts w:hint="eastAsia" w:ascii="Times New Roman" w:hAnsi="Times New Roman" w:eastAsia="宋体" w:cs="Times New Roman"/>
          <w:sz w:val="24"/>
          <w:szCs w:val="24"/>
          <w:lang w:eastAsia="zh-CN"/>
        </w:rPr>
        <w:t>表示玉米样品水解液的葡萄糖浓度，</w:t>
      </w:r>
      <w:r>
        <w:rPr>
          <w:rFonts w:ascii="Times New Roman" w:hAnsi="Times New Roman" w:eastAsia="宋体" w:cs="Times New Roman"/>
          <w:sz w:val="24"/>
          <w:szCs w:val="24"/>
          <w:lang w:eastAsia="zh-CN"/>
        </w:rPr>
        <w:t>mg/mL</w:t>
      </w:r>
      <w:r>
        <w:rPr>
          <w:rFonts w:hint="eastAsia" w:ascii="Times New Roman" w:hAnsi="Times New Roman" w:eastAsia="宋体" w:cs="Times New Roman"/>
          <w:sz w:val="24"/>
          <w:szCs w:val="24"/>
          <w:lang w:eastAsia="zh-CN"/>
        </w:rPr>
        <w:t>；</w:t>
      </w:r>
    </w:p>
    <w:p w14:paraId="020656B2">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m——</w:t>
      </w:r>
      <w:r>
        <w:rPr>
          <w:rFonts w:hint="eastAsia" w:ascii="Times New Roman" w:hAnsi="Times New Roman" w:eastAsia="宋体" w:cs="Times New Roman"/>
          <w:sz w:val="24"/>
          <w:szCs w:val="24"/>
          <w:lang w:eastAsia="zh-CN"/>
        </w:rPr>
        <w:t>表示样品的质量，</w:t>
      </w:r>
      <w:r>
        <w:rPr>
          <w:rFonts w:ascii="Times New Roman" w:hAnsi="Times New Roman" w:eastAsia="宋体" w:cs="Times New Roman"/>
          <w:sz w:val="24"/>
          <w:szCs w:val="24"/>
          <w:lang w:eastAsia="zh-CN"/>
        </w:rPr>
        <w:t>g</w:t>
      </w:r>
      <w:r>
        <w:rPr>
          <w:rFonts w:hint="eastAsia" w:ascii="Times New Roman" w:hAnsi="Times New Roman" w:eastAsia="宋体" w:cs="Times New Roman"/>
          <w:sz w:val="24"/>
          <w:szCs w:val="24"/>
          <w:lang w:eastAsia="zh-CN"/>
        </w:rPr>
        <w:t>；</w:t>
      </w:r>
    </w:p>
    <w:p w14:paraId="4838A4A9">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w——</w:t>
      </w:r>
      <w:r>
        <w:rPr>
          <w:rFonts w:hint="eastAsia" w:ascii="Times New Roman" w:hAnsi="Times New Roman" w:eastAsia="宋体" w:cs="Times New Roman"/>
          <w:sz w:val="24"/>
          <w:szCs w:val="24"/>
          <w:lang w:eastAsia="zh-CN"/>
        </w:rPr>
        <w:t>表示样品的水分含量，</w:t>
      </w:r>
      <w:r>
        <w:rPr>
          <w:rFonts w:ascii="Times New Roman" w:hAnsi="Times New Roman" w:eastAsia="宋体" w:cs="Times New Roman"/>
          <w:sz w:val="24"/>
          <w:szCs w:val="24"/>
          <w:lang w:eastAsia="zh-CN"/>
        </w:rPr>
        <w:t>%</w:t>
      </w:r>
      <w:r>
        <w:rPr>
          <w:rFonts w:hint="eastAsia" w:ascii="Times New Roman" w:hAnsi="Times New Roman" w:eastAsia="宋体" w:cs="Times New Roman"/>
          <w:sz w:val="24"/>
          <w:szCs w:val="24"/>
          <w:lang w:eastAsia="zh-CN"/>
        </w:rPr>
        <w:t>；</w:t>
      </w:r>
    </w:p>
    <w:p w14:paraId="4011B180">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162n</w:t>
      </w:r>
      <w:r>
        <w:rPr>
          <w:rFonts w:hint="eastAsia" w:ascii="Times New Roman" w:hAnsi="Times New Roman" w:eastAsia="宋体" w:cs="Times New Roman"/>
          <w:sz w:val="24"/>
          <w:szCs w:val="24"/>
          <w:lang w:eastAsia="zh-CN"/>
        </w:rPr>
        <w:t>和</w:t>
      </w:r>
      <w:r>
        <w:rPr>
          <w:rFonts w:ascii="Times New Roman" w:hAnsi="Times New Roman" w:eastAsia="宋体" w:cs="Times New Roman"/>
          <w:sz w:val="24"/>
          <w:szCs w:val="24"/>
          <w:lang w:eastAsia="zh-CN"/>
        </w:rPr>
        <w:t>180n</w:t>
      </w:r>
      <w:r>
        <w:rPr>
          <w:rFonts w:hint="eastAsia" w:ascii="Times New Roman" w:hAnsi="Times New Roman" w:eastAsia="宋体" w:cs="Times New Roman"/>
          <w:sz w:val="24"/>
          <w:szCs w:val="24"/>
          <w:lang w:eastAsia="zh-CN"/>
        </w:rPr>
        <w:t>（</w:t>
      </w:r>
      <w:r>
        <w:rPr>
          <w:rFonts w:ascii="Times New Roman" w:hAnsi="Times New Roman" w:eastAsia="宋体" w:cs="Times New Roman"/>
          <w:sz w:val="24"/>
          <w:szCs w:val="24"/>
          <w:lang w:eastAsia="zh-CN"/>
        </w:rPr>
        <w:t>n=1</w:t>
      </w:r>
      <w:r>
        <w:rPr>
          <w:rFonts w:hint="eastAsia" w:ascii="Times New Roman" w:hAnsi="Times New Roman" w:eastAsia="宋体" w:cs="Times New Roman"/>
          <w:sz w:val="24"/>
          <w:szCs w:val="24"/>
          <w:lang w:eastAsia="zh-CN"/>
        </w:rPr>
        <w:t>，</w:t>
      </w:r>
      <w:r>
        <w:rPr>
          <w:rFonts w:ascii="Times New Roman" w:hAnsi="Times New Roman" w:eastAsia="宋体" w:cs="Times New Roman"/>
          <w:sz w:val="24"/>
          <w:szCs w:val="24"/>
          <w:lang w:eastAsia="zh-CN"/>
        </w:rPr>
        <w:t>2</w:t>
      </w:r>
      <w:r>
        <w:rPr>
          <w:rFonts w:hint="eastAsia" w:ascii="Times New Roman" w:hAnsi="Times New Roman" w:eastAsia="宋体" w:cs="Times New Roman"/>
          <w:sz w:val="24"/>
          <w:szCs w:val="24"/>
          <w:lang w:eastAsia="zh-CN"/>
        </w:rPr>
        <w:t>，</w:t>
      </w:r>
      <w:r>
        <w:rPr>
          <w:rFonts w:ascii="Times New Roman" w:hAnsi="Times New Roman" w:eastAsia="宋体" w:cs="Times New Roman"/>
          <w:sz w:val="24"/>
          <w:szCs w:val="24"/>
          <w:lang w:eastAsia="zh-CN"/>
        </w:rPr>
        <w:t>3···</w:t>
      </w:r>
      <w:r>
        <w:rPr>
          <w:rFonts w:hint="eastAsia" w:ascii="Times New Roman" w:hAnsi="Times New Roman" w:eastAsia="宋体" w:cs="Times New Roman"/>
          <w:sz w:val="24"/>
          <w:szCs w:val="24"/>
          <w:lang w:eastAsia="zh-CN"/>
        </w:rPr>
        <w:t>）——分别表示淀粉和葡萄糖的摩尔质量分数。</w:t>
      </w:r>
    </w:p>
    <w:p w14:paraId="01D35EA2">
      <w:pPr>
        <w:pStyle w:val="12"/>
        <w:widowControl w:val="0"/>
        <w:numPr>
          <w:ilvl w:val="0"/>
          <w:numId w:val="2"/>
        </w:numPr>
        <w:kinsoku/>
        <w:autoSpaceDE/>
        <w:autoSpaceDN/>
        <w:spacing w:line="360" w:lineRule="auto"/>
        <w:ind w:firstLineChars="0"/>
        <w:jc w:val="both"/>
        <w:textAlignment w:val="auto"/>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重复性</w:t>
      </w:r>
    </w:p>
    <w:p w14:paraId="24E22C3E">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9.1 </w:t>
      </w:r>
      <w:r>
        <w:rPr>
          <w:rFonts w:hint="eastAsia" w:ascii="Times New Roman" w:hAnsi="Times New Roman" w:eastAsia="宋体" w:cs="Times New Roman"/>
          <w:sz w:val="24"/>
          <w:szCs w:val="24"/>
          <w:lang w:eastAsia="zh-CN"/>
        </w:rPr>
        <w:t>重复性</w:t>
      </w:r>
    </w:p>
    <w:p w14:paraId="13C813A1">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在重复条件下测定结果的绝对差值不应超过其算术平均值的</w:t>
      </w:r>
      <w:r>
        <w:rPr>
          <w:rFonts w:ascii="Times New Roman" w:hAnsi="Times New Roman" w:eastAsia="宋体" w:cs="Times New Roman"/>
          <w:sz w:val="24"/>
          <w:szCs w:val="24"/>
          <w:lang w:eastAsia="zh-CN"/>
        </w:rPr>
        <w:t>5%</w:t>
      </w:r>
      <w:r>
        <w:rPr>
          <w:rFonts w:hint="eastAsia" w:ascii="Times New Roman" w:hAnsi="Times New Roman" w:eastAsia="宋体" w:cs="Times New Roman"/>
          <w:sz w:val="24"/>
          <w:szCs w:val="24"/>
          <w:lang w:eastAsia="zh-CN"/>
        </w:rPr>
        <w:t>。</w:t>
      </w:r>
    </w:p>
    <w:p w14:paraId="7DA5CE71">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 xml:space="preserve">9.2 </w:t>
      </w:r>
      <w:r>
        <w:rPr>
          <w:rFonts w:hint="eastAsia" w:ascii="Times New Roman" w:hAnsi="Times New Roman" w:eastAsia="宋体" w:cs="Times New Roman"/>
          <w:sz w:val="24"/>
          <w:szCs w:val="24"/>
          <w:lang w:eastAsia="zh-CN"/>
        </w:rPr>
        <w:t>再现性</w:t>
      </w:r>
    </w:p>
    <w:p w14:paraId="5CEDC5C7">
      <w:pPr>
        <w:pStyle w:val="12"/>
        <w:widowControl w:val="0"/>
        <w:kinsoku/>
        <w:autoSpaceDE/>
        <w:autoSpaceDN/>
        <w:spacing w:line="360" w:lineRule="auto"/>
        <w:ind w:firstLine="480"/>
        <w:jc w:val="both"/>
        <w:textAlignment w:val="auto"/>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在再现条件下测定结果的绝对差值不应超过其算术平均值的</w:t>
      </w:r>
      <w:r>
        <w:rPr>
          <w:rFonts w:ascii="Times New Roman" w:hAnsi="Times New Roman" w:eastAsia="宋体" w:cs="Times New Roman"/>
          <w:sz w:val="24"/>
          <w:szCs w:val="24"/>
          <w:lang w:eastAsia="zh-CN"/>
        </w:rPr>
        <w:t>10%</w:t>
      </w:r>
      <w:r>
        <w:rPr>
          <w:rFonts w:hint="eastAsia" w:ascii="Times New Roman" w:hAnsi="Times New Roman" w:eastAsia="宋体" w:cs="Times New Roman"/>
          <w:sz w:val="24"/>
          <w:szCs w:val="24"/>
          <w:lang w:eastAsia="zh-CN"/>
        </w:rPr>
        <w:t>。</w:t>
      </w:r>
    </w:p>
    <w:p w14:paraId="28C93F88">
      <w:pPr>
        <w:widowControl w:val="0"/>
        <w:kinsoku/>
        <w:autoSpaceDE/>
        <w:autoSpaceDN/>
        <w:spacing w:line="500" w:lineRule="exact"/>
        <w:ind w:firstLine="562" w:firstLineChars="200"/>
        <w:jc w:val="both"/>
        <w:textAlignment w:val="auto"/>
        <w:rPr>
          <w:rFonts w:ascii="Times New Roman" w:hAnsi="Times New Roman" w:eastAsia="仿宋_GB2312" w:cs="Times New Roman"/>
          <w:b/>
          <w:sz w:val="28"/>
          <w:szCs w:val="28"/>
          <w:lang w:eastAsia="zh-CN"/>
        </w:rPr>
      </w:pPr>
      <w:r>
        <w:rPr>
          <w:rFonts w:ascii="Times New Roman" w:hAnsi="Times New Roman" w:eastAsia="仿宋_GB2312" w:cs="Times New Roman"/>
          <w:b/>
          <w:sz w:val="28"/>
          <w:szCs w:val="28"/>
          <w:lang w:eastAsia="zh-CN"/>
        </w:rPr>
        <w:t>3.主要试验（或验证）情况的分析、综述报告，技术经济论证，预期的经济效果</w:t>
      </w:r>
    </w:p>
    <w:p w14:paraId="4B970EE2">
      <w:pPr>
        <w:widowControl w:val="0"/>
        <w:kinsoku/>
        <w:autoSpaceDE/>
        <w:autoSpaceDN/>
        <w:spacing w:line="360" w:lineRule="auto"/>
        <w:ind w:firstLine="480" w:firstLineChars="200"/>
        <w:jc w:val="both"/>
        <w:textAlignment w:val="auto"/>
        <w:rPr>
          <w:rFonts w:ascii="Times New Roman" w:hAnsi="Times New Roman" w:eastAsia="仿宋_GB2312" w:cs="Times New Roman"/>
          <w:sz w:val="28"/>
          <w:szCs w:val="28"/>
          <w:lang w:eastAsia="zh-CN"/>
        </w:rPr>
      </w:pPr>
      <w:bookmarkStart w:id="2" w:name="_Toc6220374"/>
      <w:r>
        <w:rPr>
          <w:rFonts w:hint="eastAsia" w:ascii="宋体" w:hAnsi="宋体" w:eastAsia="宋体" w:cs="宋体"/>
          <w:sz w:val="24"/>
          <w:szCs w:val="24"/>
          <w:lang w:eastAsia="zh-CN"/>
        </w:rPr>
        <w:t>本标准所规定的指标，由河南工业大学粮油食品学院河南省谷物科学与技术实验室试验验证，由河南飞天农业开发股份有限公司提供样品，河南工业大学委托河南华测检测技术有限公司进行技术经济论证，标准由中原食品实验室、河南飞天农业开发股份有限公司、郸城县正星粉业有限公司进行鉴别，其检测方法简便高效，本标准的检测方法主要依据</w:t>
      </w:r>
      <w:r>
        <w:rPr>
          <w:rFonts w:ascii="Times New Roman" w:hAnsi="Times New Roman" w:cs="Times New Roman"/>
          <w:sz w:val="24"/>
          <w:szCs w:val="24"/>
          <w:lang w:eastAsia="zh-CN"/>
        </w:rPr>
        <w:t>AACC 76-13.01</w:t>
      </w:r>
      <w:r>
        <w:rPr>
          <w:rFonts w:hint="eastAsia" w:ascii="宋体" w:hAnsi="宋体" w:eastAsia="宋体" w:cs="宋体"/>
          <w:sz w:val="24"/>
          <w:szCs w:val="24"/>
          <w:lang w:eastAsia="zh-CN"/>
        </w:rPr>
        <w:t>方法和相关国家标准，因此各项指标可行。</w:t>
      </w:r>
      <w:bookmarkEnd w:id="2"/>
    </w:p>
    <w:p w14:paraId="7D22E311">
      <w:pPr>
        <w:widowControl w:val="0"/>
        <w:kinsoku/>
        <w:autoSpaceDE/>
        <w:autoSpaceDN/>
        <w:spacing w:line="500" w:lineRule="exact"/>
        <w:ind w:firstLine="562" w:firstLineChars="200"/>
        <w:jc w:val="both"/>
        <w:textAlignment w:val="auto"/>
        <w:rPr>
          <w:rFonts w:ascii="Times New Roman" w:hAnsi="Times New Roman" w:eastAsia="仿宋_GB2312" w:cs="Times New Roman"/>
          <w:color w:val="auto"/>
          <w:sz w:val="28"/>
          <w:szCs w:val="28"/>
          <w:lang w:eastAsia="zh-CN"/>
        </w:rPr>
      </w:pPr>
      <w:r>
        <w:rPr>
          <w:rFonts w:ascii="Times New Roman" w:hAnsi="Times New Roman" w:eastAsia="仿宋_GB2312" w:cs="Times New Roman"/>
          <w:b/>
          <w:color w:val="auto"/>
          <w:sz w:val="28"/>
          <w:szCs w:val="28"/>
          <w:lang w:eastAsia="zh-CN"/>
        </w:rPr>
        <w:t>4.与国际、国外、国行标对比情况</w:t>
      </w:r>
      <w:r>
        <w:rPr>
          <w:rFonts w:ascii="Times New Roman" w:hAnsi="Times New Roman" w:eastAsia="仿宋_GB2312" w:cs="Times New Roman"/>
          <w:color w:val="auto"/>
          <w:sz w:val="28"/>
          <w:szCs w:val="28"/>
          <w:lang w:eastAsia="zh-CN"/>
        </w:rPr>
        <w:t>（采用国际标准和国外先进标准的程度，以及与国际、国外同类标准水平以及国行标水平的对比情况，或与测试的国外样品、样机的有关数据的对比情况等）</w:t>
      </w:r>
    </w:p>
    <w:p w14:paraId="3E6E03C1">
      <w:pPr>
        <w:pStyle w:val="9"/>
        <w:spacing w:line="360" w:lineRule="auto"/>
        <w:ind w:firstLine="420"/>
        <w:rPr>
          <w:rFonts w:ascii="Times New Roman" w:hAnsi="Times New Roman" w:cs="Times New Roman"/>
          <w:sz w:val="24"/>
          <w:szCs w:val="24"/>
        </w:rPr>
      </w:pPr>
      <w:r>
        <w:rPr>
          <w:rFonts w:ascii="Times New Roman" w:hAnsi="Times New Roman" w:cs="Times New Roman"/>
          <w:sz w:val="24"/>
          <w:szCs w:val="24"/>
        </w:rPr>
        <w:t>共利用两种粮食作物验证本标准的适用性，分别利用双酶法完成玉米和甘薯中总淀粉的含量测定：</w:t>
      </w:r>
    </w:p>
    <w:p w14:paraId="1D92D144">
      <w:pPr>
        <w:pStyle w:val="9"/>
        <w:spacing w:line="360" w:lineRule="auto"/>
        <w:ind w:firstLine="487" w:firstLineChars="202"/>
        <w:rPr>
          <w:rFonts w:ascii="Times New Roman" w:hAnsi="Times New Roman" w:cs="Times New Roman"/>
          <w:b/>
          <w:bCs/>
          <w:sz w:val="24"/>
          <w:szCs w:val="24"/>
        </w:rPr>
      </w:pPr>
      <w:r>
        <w:rPr>
          <w:rFonts w:ascii="Times New Roman" w:hAnsi="Times New Roman" w:cs="Times New Roman"/>
          <w:b/>
          <w:bCs/>
          <w:sz w:val="24"/>
          <w:szCs w:val="24"/>
        </w:rPr>
        <w:t>1、玉米淀粉含量的测定:</w:t>
      </w:r>
    </w:p>
    <w:p w14:paraId="2472E27D">
      <w:pPr>
        <w:pStyle w:val="9"/>
        <w:spacing w:line="360" w:lineRule="auto"/>
        <w:ind w:firstLine="420"/>
        <w:rPr>
          <w:rFonts w:ascii="Times New Roman" w:hAnsi="Times New Roman" w:cs="Times New Roman"/>
          <w:sz w:val="24"/>
          <w:szCs w:val="24"/>
        </w:rPr>
      </w:pPr>
      <w:r>
        <w:rPr>
          <w:rFonts w:ascii="Times New Roman" w:hAnsi="Times New Roman" w:cs="Times New Roman"/>
          <w:sz w:val="24"/>
          <w:szCs w:val="24"/>
        </w:rPr>
        <w:t>实验材料为来自河南省不同地区的27个的玉米样品。品种名称分别为为穗甜2号、浚单20、郑单958、秦龙9号、先玉335、济单7号、洛玉7号、豫单802、郑黄糯2号、国审5308、登海605、郑单958、豫玉22、蠡玉16、郑单5号、豫玉22、蠡玉16、先玉335、豫玉16、先玉335、农华101、敦煌1号、平玉8号、周单8号、金农大72、中科12、鲁甜玉1号。</w:t>
      </w:r>
    </w:p>
    <w:p w14:paraId="6667A582">
      <w:pPr>
        <w:pStyle w:val="9"/>
        <w:spacing w:line="360" w:lineRule="auto"/>
        <w:ind w:firstLine="420"/>
        <w:rPr>
          <w:rFonts w:ascii="Times New Roman" w:hAnsi="Times New Roman" w:cs="Times New Roman"/>
          <w:sz w:val="24"/>
          <w:szCs w:val="24"/>
        </w:rPr>
      </w:pPr>
      <w:r>
        <w:rPr>
          <w:rFonts w:ascii="Times New Roman" w:hAnsi="Times New Roman" w:cs="Times New Roman"/>
          <w:sz w:val="24"/>
          <w:szCs w:val="24"/>
        </w:rPr>
        <w:t>采用三种公认的标准方法测定的淀粉含量结果对比见表1。</w:t>
      </w:r>
    </w:p>
    <w:p w14:paraId="31454CBC">
      <w:pPr>
        <w:spacing w:line="360" w:lineRule="auto"/>
        <w:ind w:firstLine="420" w:firstLineChars="200"/>
        <w:jc w:val="center"/>
        <w:rPr>
          <w:rFonts w:ascii="Times New Roman" w:hAnsi="Times New Roman" w:cs="Times New Roman"/>
          <w:lang w:eastAsia="zh-CN"/>
        </w:rPr>
      </w:pPr>
      <w:r>
        <w:rPr>
          <w:rFonts w:hint="eastAsia" w:ascii="宋体" w:hAnsi="宋体" w:eastAsia="宋体" w:cs="宋体"/>
          <w:lang w:eastAsia="zh-CN"/>
        </w:rPr>
        <w:t>表</w:t>
      </w:r>
      <w:r>
        <w:rPr>
          <w:rFonts w:ascii="Times New Roman" w:hAnsi="Times New Roman" w:cs="Times New Roman"/>
          <w:lang w:eastAsia="zh-CN"/>
        </w:rPr>
        <w:t xml:space="preserve">1  </w:t>
      </w:r>
      <w:r>
        <w:rPr>
          <w:rFonts w:hint="eastAsia" w:ascii="宋体" w:hAnsi="宋体" w:eastAsia="宋体" w:cs="宋体"/>
          <w:lang w:eastAsia="zh-CN"/>
        </w:rPr>
        <w:t>三种标准方法测定的淀粉含量（</w:t>
      </w:r>
      <w:r>
        <w:rPr>
          <w:rFonts w:ascii="Times New Roman" w:hAnsi="Times New Roman" w:cs="Times New Roman"/>
          <w:lang w:eastAsia="zh-CN"/>
        </w:rPr>
        <w:t>%</w:t>
      </w:r>
      <w:r>
        <w:rPr>
          <w:rFonts w:hint="eastAsia" w:ascii="宋体" w:hAnsi="宋体" w:eastAsia="宋体" w:cs="宋体"/>
          <w:lang w:eastAsia="zh-CN"/>
        </w:rPr>
        <w:t>）</w:t>
      </w:r>
    </w:p>
    <w:tbl>
      <w:tblPr>
        <w:tblStyle w:val="4"/>
        <w:tblW w:w="0" w:type="auto"/>
        <w:tblInd w:w="175" w:type="dxa"/>
        <w:tblLayout w:type="fixed"/>
        <w:tblCellMar>
          <w:top w:w="0" w:type="dxa"/>
          <w:left w:w="108" w:type="dxa"/>
          <w:bottom w:w="0" w:type="dxa"/>
          <w:right w:w="108" w:type="dxa"/>
        </w:tblCellMar>
      </w:tblPr>
      <w:tblGrid>
        <w:gridCol w:w="1791"/>
        <w:gridCol w:w="2525"/>
        <w:gridCol w:w="2051"/>
        <w:gridCol w:w="2318"/>
      </w:tblGrid>
      <w:tr w14:paraId="1CCFC3FB">
        <w:tblPrEx>
          <w:tblCellMar>
            <w:top w:w="0" w:type="dxa"/>
            <w:left w:w="108" w:type="dxa"/>
            <w:bottom w:w="0" w:type="dxa"/>
            <w:right w:w="108" w:type="dxa"/>
          </w:tblCellMar>
        </w:tblPrEx>
        <w:trPr>
          <w:trHeight w:val="397" w:hRule="exact"/>
          <w:tblHeader/>
        </w:trPr>
        <w:tc>
          <w:tcPr>
            <w:tcW w:w="1791" w:type="dxa"/>
            <w:vMerge w:val="restart"/>
            <w:tcBorders>
              <w:top w:val="single" w:color="auto" w:sz="4" w:space="0"/>
            </w:tcBorders>
            <w:vAlign w:val="center"/>
          </w:tcPr>
          <w:p w14:paraId="4A9DA056">
            <w:pPr>
              <w:jc w:val="center"/>
              <w:rPr>
                <w:rFonts w:ascii="Times New Roman" w:hAnsi="Times New Roman" w:cs="Times New Roman"/>
              </w:rPr>
            </w:pPr>
            <w:bookmarkStart w:id="3" w:name="OLE_LINK13"/>
            <w:bookmarkStart w:id="4" w:name="OLE_LINK12"/>
            <w:r>
              <w:rPr>
                <w:rFonts w:hint="eastAsia" w:ascii="宋体" w:hAnsi="宋体" w:eastAsia="宋体" w:cs="宋体"/>
              </w:rPr>
              <w:t>样品编号</w:t>
            </w:r>
          </w:p>
        </w:tc>
        <w:tc>
          <w:tcPr>
            <w:tcW w:w="6894" w:type="dxa"/>
            <w:gridSpan w:val="3"/>
            <w:tcBorders>
              <w:top w:val="single" w:color="auto" w:sz="4" w:space="0"/>
            </w:tcBorders>
            <w:vAlign w:val="center"/>
          </w:tcPr>
          <w:p w14:paraId="1C1CED7E">
            <w:pPr>
              <w:spacing w:line="360" w:lineRule="auto"/>
              <w:jc w:val="center"/>
              <w:rPr>
                <w:rFonts w:ascii="Times New Roman" w:hAnsi="Times New Roman" w:cs="Times New Roman"/>
              </w:rPr>
            </w:pPr>
            <w:r>
              <w:rPr>
                <w:rFonts w:hint="eastAsia" w:ascii="宋体" w:hAnsi="宋体" w:eastAsia="宋体" w:cs="宋体"/>
              </w:rPr>
              <w:t>标准方法</w:t>
            </w:r>
          </w:p>
        </w:tc>
      </w:tr>
      <w:tr w14:paraId="40F4D0DD">
        <w:tblPrEx>
          <w:tblCellMar>
            <w:top w:w="0" w:type="dxa"/>
            <w:left w:w="108" w:type="dxa"/>
            <w:bottom w:w="0" w:type="dxa"/>
            <w:right w:w="108" w:type="dxa"/>
          </w:tblCellMar>
        </w:tblPrEx>
        <w:trPr>
          <w:trHeight w:val="397" w:hRule="exact"/>
          <w:tblHeader/>
        </w:trPr>
        <w:tc>
          <w:tcPr>
            <w:tcW w:w="1791" w:type="dxa"/>
            <w:vMerge w:val="continue"/>
            <w:tcBorders>
              <w:bottom w:val="single" w:color="auto" w:sz="4" w:space="0"/>
            </w:tcBorders>
            <w:vAlign w:val="center"/>
          </w:tcPr>
          <w:p w14:paraId="699E396A">
            <w:pPr>
              <w:jc w:val="center"/>
              <w:rPr>
                <w:rFonts w:ascii="Times New Roman" w:hAnsi="Times New Roman" w:cs="Times New Roman"/>
              </w:rPr>
            </w:pPr>
          </w:p>
        </w:tc>
        <w:tc>
          <w:tcPr>
            <w:tcW w:w="2525" w:type="dxa"/>
            <w:tcBorders>
              <w:bottom w:val="single" w:color="auto" w:sz="4" w:space="0"/>
            </w:tcBorders>
            <w:vAlign w:val="center"/>
          </w:tcPr>
          <w:p w14:paraId="760D916A">
            <w:pPr>
              <w:jc w:val="center"/>
              <w:outlineLvl w:val="2"/>
              <w:rPr>
                <w:rFonts w:ascii="Times New Roman" w:hAnsi="Times New Roman" w:cs="Times New Roman"/>
              </w:rPr>
            </w:pPr>
            <w:r>
              <w:rPr>
                <w:rFonts w:ascii="Times New Roman" w:hAnsi="Times New Roman" w:cs="Times New Roman"/>
                <w:bCs/>
              </w:rPr>
              <w:t>GB 5006-85</w:t>
            </w:r>
          </w:p>
        </w:tc>
        <w:tc>
          <w:tcPr>
            <w:tcW w:w="2051" w:type="dxa"/>
            <w:tcBorders>
              <w:bottom w:val="single" w:color="auto" w:sz="4" w:space="0"/>
            </w:tcBorders>
            <w:vAlign w:val="center"/>
          </w:tcPr>
          <w:p w14:paraId="01907DA8">
            <w:pPr>
              <w:jc w:val="center"/>
              <w:outlineLvl w:val="2"/>
              <w:rPr>
                <w:rFonts w:ascii="Times New Roman" w:hAnsi="Times New Roman" w:cs="Times New Roman"/>
              </w:rPr>
            </w:pPr>
            <w:r>
              <w:rPr>
                <w:rFonts w:ascii="Times New Roman" w:hAnsi="Times New Roman" w:cs="Times New Roman"/>
                <w:bCs/>
              </w:rPr>
              <w:t>GB/T 5514-2008</w:t>
            </w:r>
          </w:p>
        </w:tc>
        <w:tc>
          <w:tcPr>
            <w:tcW w:w="2318" w:type="dxa"/>
            <w:tcBorders>
              <w:bottom w:val="single" w:color="auto" w:sz="4" w:space="0"/>
            </w:tcBorders>
            <w:vAlign w:val="center"/>
          </w:tcPr>
          <w:p w14:paraId="1F314A1C">
            <w:pPr>
              <w:jc w:val="center"/>
              <w:outlineLvl w:val="2"/>
              <w:rPr>
                <w:rFonts w:ascii="Times New Roman" w:hAnsi="Times New Roman" w:cs="Times New Roman"/>
              </w:rPr>
            </w:pPr>
            <w:r>
              <w:rPr>
                <w:rFonts w:hint="eastAsia" w:ascii="宋体" w:hAnsi="宋体" w:eastAsia="宋体" w:cs="宋体"/>
              </w:rPr>
              <w:t>双酶法</w:t>
            </w:r>
          </w:p>
        </w:tc>
      </w:tr>
      <w:tr w14:paraId="1FA4226C">
        <w:tblPrEx>
          <w:tblCellMar>
            <w:top w:w="0" w:type="dxa"/>
            <w:left w:w="108" w:type="dxa"/>
            <w:bottom w:w="0" w:type="dxa"/>
            <w:right w:w="108" w:type="dxa"/>
          </w:tblCellMar>
        </w:tblPrEx>
        <w:trPr>
          <w:trHeight w:val="397" w:hRule="exact"/>
          <w:tblHeader/>
        </w:trPr>
        <w:tc>
          <w:tcPr>
            <w:tcW w:w="1791" w:type="dxa"/>
            <w:tcBorders>
              <w:top w:val="single" w:color="auto" w:sz="4" w:space="0"/>
            </w:tcBorders>
            <w:vAlign w:val="center"/>
          </w:tcPr>
          <w:p w14:paraId="0AFD9893">
            <w:pPr>
              <w:jc w:val="center"/>
              <w:rPr>
                <w:rFonts w:ascii="Times New Roman" w:hAnsi="Times New Roman" w:cs="Times New Roman"/>
              </w:rPr>
            </w:pPr>
            <w:r>
              <w:rPr>
                <w:rFonts w:ascii="Times New Roman" w:hAnsi="Times New Roman" w:cs="Times New Roman"/>
              </w:rPr>
              <w:t>YM01</w:t>
            </w:r>
          </w:p>
        </w:tc>
        <w:tc>
          <w:tcPr>
            <w:tcW w:w="2525" w:type="dxa"/>
            <w:tcBorders>
              <w:top w:val="single" w:color="auto" w:sz="4" w:space="0"/>
            </w:tcBorders>
            <w:vAlign w:val="center"/>
          </w:tcPr>
          <w:p w14:paraId="3DD2F8F3">
            <w:pPr>
              <w:jc w:val="center"/>
              <w:rPr>
                <w:rFonts w:ascii="Times New Roman" w:hAnsi="Times New Roman" w:cs="Times New Roman"/>
              </w:rPr>
            </w:pPr>
            <w:r>
              <w:rPr>
                <w:rFonts w:ascii="Times New Roman" w:hAnsi="Times New Roman" w:cs="Times New Roman"/>
              </w:rPr>
              <w:t>74.56±0.08</w:t>
            </w:r>
          </w:p>
        </w:tc>
        <w:tc>
          <w:tcPr>
            <w:tcW w:w="2051" w:type="dxa"/>
            <w:tcBorders>
              <w:top w:val="single" w:color="auto" w:sz="4" w:space="0"/>
            </w:tcBorders>
            <w:vAlign w:val="center"/>
          </w:tcPr>
          <w:p w14:paraId="61A548EF">
            <w:pPr>
              <w:jc w:val="center"/>
              <w:rPr>
                <w:rFonts w:ascii="Times New Roman" w:hAnsi="Times New Roman" w:cs="Times New Roman"/>
              </w:rPr>
            </w:pPr>
            <w:r>
              <w:rPr>
                <w:rFonts w:ascii="Times New Roman" w:hAnsi="Times New Roman" w:cs="Times New Roman"/>
              </w:rPr>
              <w:t>72.00±0.47</w:t>
            </w:r>
          </w:p>
        </w:tc>
        <w:tc>
          <w:tcPr>
            <w:tcW w:w="2318" w:type="dxa"/>
            <w:tcBorders>
              <w:top w:val="single" w:color="auto" w:sz="4" w:space="0"/>
            </w:tcBorders>
            <w:vAlign w:val="center"/>
          </w:tcPr>
          <w:p w14:paraId="1CEBDDAE">
            <w:pPr>
              <w:spacing w:line="360" w:lineRule="auto"/>
              <w:jc w:val="center"/>
              <w:rPr>
                <w:rFonts w:ascii="Times New Roman" w:hAnsi="Times New Roman" w:cs="Times New Roman"/>
              </w:rPr>
            </w:pPr>
            <w:r>
              <w:rPr>
                <w:rFonts w:ascii="Times New Roman" w:hAnsi="Times New Roman" w:cs="Times New Roman"/>
              </w:rPr>
              <w:t>70.82±0.00</w:t>
            </w:r>
          </w:p>
        </w:tc>
      </w:tr>
      <w:tr w14:paraId="1F877B72">
        <w:tblPrEx>
          <w:tblCellMar>
            <w:top w:w="0" w:type="dxa"/>
            <w:left w:w="108" w:type="dxa"/>
            <w:bottom w:w="0" w:type="dxa"/>
            <w:right w:w="108" w:type="dxa"/>
          </w:tblCellMar>
        </w:tblPrEx>
        <w:trPr>
          <w:trHeight w:val="397" w:hRule="exact"/>
          <w:tblHeader/>
        </w:trPr>
        <w:tc>
          <w:tcPr>
            <w:tcW w:w="1791" w:type="dxa"/>
            <w:vAlign w:val="center"/>
          </w:tcPr>
          <w:p w14:paraId="76C94446">
            <w:pPr>
              <w:jc w:val="center"/>
              <w:rPr>
                <w:rFonts w:ascii="Times New Roman" w:hAnsi="Times New Roman" w:cs="Times New Roman"/>
              </w:rPr>
            </w:pPr>
            <w:r>
              <w:rPr>
                <w:rFonts w:ascii="Times New Roman" w:hAnsi="Times New Roman" w:cs="Times New Roman"/>
              </w:rPr>
              <w:t>YM02</w:t>
            </w:r>
          </w:p>
        </w:tc>
        <w:tc>
          <w:tcPr>
            <w:tcW w:w="2525" w:type="dxa"/>
            <w:vAlign w:val="center"/>
          </w:tcPr>
          <w:p w14:paraId="224D36BB">
            <w:pPr>
              <w:jc w:val="center"/>
              <w:rPr>
                <w:rFonts w:ascii="Times New Roman" w:hAnsi="Times New Roman" w:cs="Times New Roman"/>
              </w:rPr>
            </w:pPr>
            <w:r>
              <w:rPr>
                <w:rFonts w:ascii="Times New Roman" w:hAnsi="Times New Roman" w:cs="Times New Roman"/>
              </w:rPr>
              <w:t>72.89±0.24</w:t>
            </w:r>
          </w:p>
        </w:tc>
        <w:tc>
          <w:tcPr>
            <w:tcW w:w="2051" w:type="dxa"/>
            <w:vAlign w:val="center"/>
          </w:tcPr>
          <w:p w14:paraId="07395CCF">
            <w:pPr>
              <w:jc w:val="center"/>
              <w:rPr>
                <w:rFonts w:ascii="Times New Roman" w:hAnsi="Times New Roman" w:cs="Times New Roman"/>
              </w:rPr>
            </w:pPr>
            <w:r>
              <w:rPr>
                <w:rFonts w:ascii="Times New Roman" w:hAnsi="Times New Roman" w:cs="Times New Roman"/>
              </w:rPr>
              <w:t>70.91±0.19</w:t>
            </w:r>
          </w:p>
        </w:tc>
        <w:tc>
          <w:tcPr>
            <w:tcW w:w="2318" w:type="dxa"/>
            <w:vAlign w:val="center"/>
          </w:tcPr>
          <w:p w14:paraId="3EAA1F81">
            <w:pPr>
              <w:spacing w:line="360" w:lineRule="auto"/>
              <w:jc w:val="center"/>
              <w:rPr>
                <w:rFonts w:ascii="Times New Roman" w:hAnsi="Times New Roman" w:cs="Times New Roman"/>
              </w:rPr>
            </w:pPr>
            <w:r>
              <w:rPr>
                <w:rFonts w:ascii="Times New Roman" w:hAnsi="Times New Roman" w:cs="Times New Roman"/>
              </w:rPr>
              <w:t>67.52±0.07</w:t>
            </w:r>
          </w:p>
        </w:tc>
      </w:tr>
      <w:tr w14:paraId="458C2239">
        <w:tblPrEx>
          <w:tblCellMar>
            <w:top w:w="0" w:type="dxa"/>
            <w:left w:w="108" w:type="dxa"/>
            <w:bottom w:w="0" w:type="dxa"/>
            <w:right w:w="108" w:type="dxa"/>
          </w:tblCellMar>
        </w:tblPrEx>
        <w:trPr>
          <w:trHeight w:val="397" w:hRule="exact"/>
          <w:tblHeader/>
        </w:trPr>
        <w:tc>
          <w:tcPr>
            <w:tcW w:w="1791" w:type="dxa"/>
            <w:vAlign w:val="center"/>
          </w:tcPr>
          <w:p w14:paraId="2B978740">
            <w:pPr>
              <w:jc w:val="center"/>
              <w:rPr>
                <w:rFonts w:ascii="Times New Roman" w:hAnsi="Times New Roman" w:cs="Times New Roman"/>
              </w:rPr>
            </w:pPr>
            <w:r>
              <w:rPr>
                <w:rFonts w:ascii="Times New Roman" w:hAnsi="Times New Roman" w:cs="Times New Roman"/>
              </w:rPr>
              <w:t>YM03</w:t>
            </w:r>
          </w:p>
        </w:tc>
        <w:tc>
          <w:tcPr>
            <w:tcW w:w="2525" w:type="dxa"/>
            <w:vAlign w:val="center"/>
          </w:tcPr>
          <w:p w14:paraId="6F2C7CFC">
            <w:pPr>
              <w:jc w:val="center"/>
              <w:rPr>
                <w:rFonts w:ascii="Times New Roman" w:hAnsi="Times New Roman" w:cs="Times New Roman"/>
              </w:rPr>
            </w:pPr>
            <w:r>
              <w:rPr>
                <w:rFonts w:ascii="Times New Roman" w:hAnsi="Times New Roman" w:cs="Times New Roman"/>
              </w:rPr>
              <w:t>74.82±0.06</w:t>
            </w:r>
          </w:p>
        </w:tc>
        <w:tc>
          <w:tcPr>
            <w:tcW w:w="2051" w:type="dxa"/>
            <w:vAlign w:val="center"/>
          </w:tcPr>
          <w:p w14:paraId="18C3CE7A">
            <w:pPr>
              <w:jc w:val="center"/>
              <w:rPr>
                <w:rFonts w:ascii="Times New Roman" w:hAnsi="Times New Roman" w:cs="Times New Roman"/>
              </w:rPr>
            </w:pPr>
            <w:r>
              <w:rPr>
                <w:rFonts w:ascii="Times New Roman" w:hAnsi="Times New Roman" w:cs="Times New Roman"/>
              </w:rPr>
              <w:t>69.88±0.14</w:t>
            </w:r>
          </w:p>
        </w:tc>
        <w:tc>
          <w:tcPr>
            <w:tcW w:w="2318" w:type="dxa"/>
            <w:vAlign w:val="center"/>
          </w:tcPr>
          <w:p w14:paraId="2AD4ECC6">
            <w:pPr>
              <w:spacing w:line="360" w:lineRule="auto"/>
              <w:jc w:val="center"/>
              <w:rPr>
                <w:rFonts w:ascii="Times New Roman" w:hAnsi="Times New Roman" w:cs="Times New Roman"/>
              </w:rPr>
            </w:pPr>
            <w:r>
              <w:rPr>
                <w:rFonts w:ascii="Times New Roman" w:hAnsi="Times New Roman" w:cs="Times New Roman"/>
              </w:rPr>
              <w:t>70.95±0.13</w:t>
            </w:r>
          </w:p>
        </w:tc>
      </w:tr>
      <w:tr w14:paraId="693B7CC5">
        <w:tblPrEx>
          <w:tblCellMar>
            <w:top w:w="0" w:type="dxa"/>
            <w:left w:w="108" w:type="dxa"/>
            <w:bottom w:w="0" w:type="dxa"/>
            <w:right w:w="108" w:type="dxa"/>
          </w:tblCellMar>
        </w:tblPrEx>
        <w:trPr>
          <w:trHeight w:val="397" w:hRule="exact"/>
          <w:tblHeader/>
        </w:trPr>
        <w:tc>
          <w:tcPr>
            <w:tcW w:w="1791" w:type="dxa"/>
            <w:vAlign w:val="center"/>
          </w:tcPr>
          <w:p w14:paraId="2C09CAB0">
            <w:pPr>
              <w:jc w:val="center"/>
              <w:rPr>
                <w:rFonts w:ascii="Times New Roman" w:hAnsi="Times New Roman" w:cs="Times New Roman"/>
              </w:rPr>
            </w:pPr>
            <w:r>
              <w:rPr>
                <w:rFonts w:ascii="Times New Roman" w:hAnsi="Times New Roman" w:cs="Times New Roman"/>
              </w:rPr>
              <w:t>YM04</w:t>
            </w:r>
          </w:p>
        </w:tc>
        <w:tc>
          <w:tcPr>
            <w:tcW w:w="2525" w:type="dxa"/>
            <w:vAlign w:val="center"/>
          </w:tcPr>
          <w:p w14:paraId="0EB17D95">
            <w:pPr>
              <w:jc w:val="center"/>
              <w:rPr>
                <w:rFonts w:ascii="Times New Roman" w:hAnsi="Times New Roman" w:cs="Times New Roman"/>
              </w:rPr>
            </w:pPr>
            <w:r>
              <w:rPr>
                <w:rFonts w:ascii="Times New Roman" w:hAnsi="Times New Roman" w:cs="Times New Roman"/>
              </w:rPr>
              <w:t>76.52±0.17</w:t>
            </w:r>
          </w:p>
        </w:tc>
        <w:tc>
          <w:tcPr>
            <w:tcW w:w="2051" w:type="dxa"/>
            <w:vAlign w:val="center"/>
          </w:tcPr>
          <w:p w14:paraId="4A2B8715">
            <w:pPr>
              <w:jc w:val="center"/>
              <w:rPr>
                <w:rFonts w:ascii="Times New Roman" w:hAnsi="Times New Roman" w:cs="Times New Roman"/>
              </w:rPr>
            </w:pPr>
            <w:r>
              <w:rPr>
                <w:rFonts w:ascii="Times New Roman" w:hAnsi="Times New Roman" w:cs="Times New Roman"/>
              </w:rPr>
              <w:t>73.64±0.58</w:t>
            </w:r>
          </w:p>
        </w:tc>
        <w:tc>
          <w:tcPr>
            <w:tcW w:w="2318" w:type="dxa"/>
            <w:vAlign w:val="center"/>
          </w:tcPr>
          <w:p w14:paraId="02EA1530">
            <w:pPr>
              <w:spacing w:line="360" w:lineRule="auto"/>
              <w:jc w:val="center"/>
              <w:rPr>
                <w:rFonts w:ascii="Times New Roman" w:hAnsi="Times New Roman" w:cs="Times New Roman"/>
              </w:rPr>
            </w:pPr>
            <w:r>
              <w:rPr>
                <w:rFonts w:ascii="Times New Roman" w:hAnsi="Times New Roman" w:cs="Times New Roman"/>
              </w:rPr>
              <w:t>72.39±0.21</w:t>
            </w:r>
          </w:p>
        </w:tc>
      </w:tr>
      <w:tr w14:paraId="62A3124D">
        <w:tblPrEx>
          <w:tblCellMar>
            <w:top w:w="0" w:type="dxa"/>
            <w:left w:w="108" w:type="dxa"/>
            <w:bottom w:w="0" w:type="dxa"/>
            <w:right w:w="108" w:type="dxa"/>
          </w:tblCellMar>
        </w:tblPrEx>
        <w:trPr>
          <w:trHeight w:val="397" w:hRule="exact"/>
          <w:tblHeader/>
        </w:trPr>
        <w:tc>
          <w:tcPr>
            <w:tcW w:w="1791" w:type="dxa"/>
            <w:vAlign w:val="center"/>
          </w:tcPr>
          <w:p w14:paraId="2A2E8376">
            <w:pPr>
              <w:jc w:val="center"/>
              <w:rPr>
                <w:rFonts w:ascii="Times New Roman" w:hAnsi="Times New Roman" w:cs="Times New Roman"/>
              </w:rPr>
            </w:pPr>
            <w:r>
              <w:rPr>
                <w:rFonts w:ascii="Times New Roman" w:hAnsi="Times New Roman" w:cs="Times New Roman"/>
              </w:rPr>
              <w:t>YM05</w:t>
            </w:r>
          </w:p>
        </w:tc>
        <w:tc>
          <w:tcPr>
            <w:tcW w:w="2525" w:type="dxa"/>
            <w:vAlign w:val="center"/>
          </w:tcPr>
          <w:p w14:paraId="557613F1">
            <w:pPr>
              <w:jc w:val="center"/>
              <w:rPr>
                <w:rFonts w:ascii="Times New Roman" w:hAnsi="Times New Roman" w:cs="Times New Roman"/>
              </w:rPr>
            </w:pPr>
            <w:r>
              <w:rPr>
                <w:rFonts w:ascii="Times New Roman" w:hAnsi="Times New Roman" w:cs="Times New Roman"/>
              </w:rPr>
              <w:t>75.96±0.16</w:t>
            </w:r>
          </w:p>
        </w:tc>
        <w:tc>
          <w:tcPr>
            <w:tcW w:w="2051" w:type="dxa"/>
            <w:vAlign w:val="center"/>
          </w:tcPr>
          <w:p w14:paraId="2DE7E8BB">
            <w:pPr>
              <w:jc w:val="center"/>
              <w:rPr>
                <w:rFonts w:ascii="Times New Roman" w:hAnsi="Times New Roman" w:cs="Times New Roman"/>
              </w:rPr>
            </w:pPr>
            <w:r>
              <w:rPr>
                <w:rFonts w:ascii="Times New Roman" w:hAnsi="Times New Roman" w:cs="Times New Roman"/>
              </w:rPr>
              <w:t>72.34±0.80</w:t>
            </w:r>
          </w:p>
        </w:tc>
        <w:tc>
          <w:tcPr>
            <w:tcW w:w="2318" w:type="dxa"/>
            <w:vAlign w:val="center"/>
          </w:tcPr>
          <w:p w14:paraId="34D82227">
            <w:pPr>
              <w:spacing w:line="360" w:lineRule="auto"/>
              <w:jc w:val="center"/>
              <w:rPr>
                <w:rFonts w:ascii="Times New Roman" w:hAnsi="Times New Roman" w:cs="Times New Roman"/>
              </w:rPr>
            </w:pPr>
            <w:r>
              <w:rPr>
                <w:rFonts w:ascii="Times New Roman" w:hAnsi="Times New Roman" w:cs="Times New Roman"/>
              </w:rPr>
              <w:t>71.71±0.06</w:t>
            </w:r>
          </w:p>
        </w:tc>
      </w:tr>
      <w:tr w14:paraId="58097EFF">
        <w:tblPrEx>
          <w:tblCellMar>
            <w:top w:w="0" w:type="dxa"/>
            <w:left w:w="108" w:type="dxa"/>
            <w:bottom w:w="0" w:type="dxa"/>
            <w:right w:w="108" w:type="dxa"/>
          </w:tblCellMar>
        </w:tblPrEx>
        <w:trPr>
          <w:trHeight w:val="397" w:hRule="exact"/>
          <w:tblHeader/>
        </w:trPr>
        <w:tc>
          <w:tcPr>
            <w:tcW w:w="1791" w:type="dxa"/>
            <w:vAlign w:val="center"/>
          </w:tcPr>
          <w:p w14:paraId="2501EF89">
            <w:pPr>
              <w:jc w:val="center"/>
              <w:rPr>
                <w:rFonts w:ascii="Times New Roman" w:hAnsi="Times New Roman" w:cs="Times New Roman"/>
              </w:rPr>
            </w:pPr>
            <w:r>
              <w:rPr>
                <w:rFonts w:ascii="Times New Roman" w:hAnsi="Times New Roman" w:cs="Times New Roman"/>
              </w:rPr>
              <w:t>YM06</w:t>
            </w:r>
          </w:p>
        </w:tc>
        <w:tc>
          <w:tcPr>
            <w:tcW w:w="2525" w:type="dxa"/>
            <w:vAlign w:val="center"/>
          </w:tcPr>
          <w:p w14:paraId="564F3342">
            <w:pPr>
              <w:jc w:val="center"/>
              <w:rPr>
                <w:rFonts w:ascii="Times New Roman" w:hAnsi="Times New Roman" w:cs="Times New Roman"/>
              </w:rPr>
            </w:pPr>
            <w:r>
              <w:rPr>
                <w:rFonts w:ascii="Times New Roman" w:hAnsi="Times New Roman" w:cs="Times New Roman"/>
              </w:rPr>
              <w:t>76.16±0.08</w:t>
            </w:r>
          </w:p>
        </w:tc>
        <w:tc>
          <w:tcPr>
            <w:tcW w:w="2051" w:type="dxa"/>
            <w:vAlign w:val="center"/>
          </w:tcPr>
          <w:p w14:paraId="376E58AC">
            <w:pPr>
              <w:jc w:val="center"/>
              <w:rPr>
                <w:rFonts w:ascii="Times New Roman" w:hAnsi="Times New Roman" w:cs="Times New Roman"/>
              </w:rPr>
            </w:pPr>
            <w:r>
              <w:rPr>
                <w:rFonts w:ascii="Times New Roman" w:hAnsi="Times New Roman" w:cs="Times New Roman"/>
              </w:rPr>
              <w:t>72.62±0.63</w:t>
            </w:r>
          </w:p>
        </w:tc>
        <w:tc>
          <w:tcPr>
            <w:tcW w:w="2318" w:type="dxa"/>
            <w:vAlign w:val="center"/>
          </w:tcPr>
          <w:p w14:paraId="1F4C9554">
            <w:pPr>
              <w:spacing w:line="360" w:lineRule="auto"/>
              <w:jc w:val="center"/>
              <w:rPr>
                <w:rFonts w:ascii="Times New Roman" w:hAnsi="Times New Roman" w:cs="Times New Roman"/>
              </w:rPr>
            </w:pPr>
            <w:r>
              <w:rPr>
                <w:rFonts w:ascii="Times New Roman" w:hAnsi="Times New Roman" w:cs="Times New Roman"/>
              </w:rPr>
              <w:t>72.66±1.32</w:t>
            </w:r>
          </w:p>
        </w:tc>
      </w:tr>
      <w:tr w14:paraId="01F25254">
        <w:tblPrEx>
          <w:tblCellMar>
            <w:top w:w="0" w:type="dxa"/>
            <w:left w:w="108" w:type="dxa"/>
            <w:bottom w:w="0" w:type="dxa"/>
            <w:right w:w="108" w:type="dxa"/>
          </w:tblCellMar>
        </w:tblPrEx>
        <w:trPr>
          <w:trHeight w:val="397" w:hRule="exact"/>
          <w:tblHeader/>
        </w:trPr>
        <w:tc>
          <w:tcPr>
            <w:tcW w:w="1791" w:type="dxa"/>
            <w:vAlign w:val="center"/>
          </w:tcPr>
          <w:p w14:paraId="7F59E169">
            <w:pPr>
              <w:jc w:val="center"/>
              <w:rPr>
                <w:rFonts w:ascii="Times New Roman" w:hAnsi="Times New Roman" w:cs="Times New Roman"/>
              </w:rPr>
            </w:pPr>
            <w:r>
              <w:rPr>
                <w:rFonts w:ascii="Times New Roman" w:hAnsi="Times New Roman" w:cs="Times New Roman"/>
              </w:rPr>
              <w:t>YM07</w:t>
            </w:r>
          </w:p>
        </w:tc>
        <w:tc>
          <w:tcPr>
            <w:tcW w:w="2525" w:type="dxa"/>
            <w:vAlign w:val="center"/>
          </w:tcPr>
          <w:p w14:paraId="3629851D">
            <w:pPr>
              <w:jc w:val="center"/>
              <w:rPr>
                <w:rFonts w:ascii="Times New Roman" w:hAnsi="Times New Roman" w:cs="Times New Roman"/>
              </w:rPr>
            </w:pPr>
            <w:r>
              <w:rPr>
                <w:rFonts w:ascii="Times New Roman" w:hAnsi="Times New Roman" w:cs="Times New Roman"/>
              </w:rPr>
              <w:t>69.53±0.15</w:t>
            </w:r>
          </w:p>
        </w:tc>
        <w:tc>
          <w:tcPr>
            <w:tcW w:w="2051" w:type="dxa"/>
            <w:vAlign w:val="center"/>
          </w:tcPr>
          <w:p w14:paraId="71E468B2">
            <w:pPr>
              <w:jc w:val="center"/>
              <w:rPr>
                <w:rFonts w:ascii="Times New Roman" w:hAnsi="Times New Roman" w:cs="Times New Roman"/>
              </w:rPr>
            </w:pPr>
            <w:r>
              <w:rPr>
                <w:rFonts w:ascii="Times New Roman" w:hAnsi="Times New Roman" w:cs="Times New Roman"/>
              </w:rPr>
              <w:t>68.96±0.36</w:t>
            </w:r>
          </w:p>
        </w:tc>
        <w:tc>
          <w:tcPr>
            <w:tcW w:w="2318" w:type="dxa"/>
            <w:vAlign w:val="center"/>
          </w:tcPr>
          <w:p w14:paraId="62917996">
            <w:pPr>
              <w:spacing w:line="360" w:lineRule="auto"/>
              <w:jc w:val="center"/>
              <w:rPr>
                <w:rFonts w:ascii="Times New Roman" w:hAnsi="Times New Roman" w:cs="Times New Roman"/>
              </w:rPr>
            </w:pPr>
            <w:r>
              <w:rPr>
                <w:rFonts w:ascii="Times New Roman" w:hAnsi="Times New Roman" w:cs="Times New Roman"/>
              </w:rPr>
              <w:t>66.28±0.36</w:t>
            </w:r>
          </w:p>
        </w:tc>
      </w:tr>
      <w:tr w14:paraId="33AA9DE7">
        <w:tblPrEx>
          <w:tblCellMar>
            <w:top w:w="0" w:type="dxa"/>
            <w:left w:w="108" w:type="dxa"/>
            <w:bottom w:w="0" w:type="dxa"/>
            <w:right w:w="108" w:type="dxa"/>
          </w:tblCellMar>
        </w:tblPrEx>
        <w:trPr>
          <w:trHeight w:val="397" w:hRule="exact"/>
          <w:tblHeader/>
        </w:trPr>
        <w:tc>
          <w:tcPr>
            <w:tcW w:w="1791" w:type="dxa"/>
            <w:vAlign w:val="center"/>
          </w:tcPr>
          <w:p w14:paraId="484D0408">
            <w:pPr>
              <w:jc w:val="center"/>
              <w:rPr>
                <w:rFonts w:ascii="Times New Roman" w:hAnsi="Times New Roman" w:cs="Times New Roman"/>
              </w:rPr>
            </w:pPr>
            <w:r>
              <w:rPr>
                <w:rFonts w:ascii="Times New Roman" w:hAnsi="Times New Roman" w:cs="Times New Roman"/>
              </w:rPr>
              <w:t>YM08</w:t>
            </w:r>
          </w:p>
        </w:tc>
        <w:tc>
          <w:tcPr>
            <w:tcW w:w="2525" w:type="dxa"/>
            <w:vAlign w:val="center"/>
          </w:tcPr>
          <w:p w14:paraId="4DA0847E">
            <w:pPr>
              <w:jc w:val="center"/>
              <w:rPr>
                <w:rFonts w:ascii="Times New Roman" w:hAnsi="Times New Roman" w:cs="Times New Roman"/>
              </w:rPr>
            </w:pPr>
            <w:r>
              <w:rPr>
                <w:rFonts w:ascii="Times New Roman" w:hAnsi="Times New Roman" w:cs="Times New Roman"/>
              </w:rPr>
              <w:t>74.09±0.03</w:t>
            </w:r>
          </w:p>
        </w:tc>
        <w:tc>
          <w:tcPr>
            <w:tcW w:w="2051" w:type="dxa"/>
            <w:vAlign w:val="center"/>
          </w:tcPr>
          <w:p w14:paraId="2207C199">
            <w:pPr>
              <w:jc w:val="center"/>
              <w:rPr>
                <w:rFonts w:ascii="Times New Roman" w:hAnsi="Times New Roman" w:cs="Times New Roman"/>
              </w:rPr>
            </w:pPr>
            <w:r>
              <w:rPr>
                <w:rFonts w:ascii="Times New Roman" w:hAnsi="Times New Roman" w:cs="Times New Roman"/>
              </w:rPr>
              <w:t>67.87±0.35</w:t>
            </w:r>
          </w:p>
        </w:tc>
        <w:tc>
          <w:tcPr>
            <w:tcW w:w="2318" w:type="dxa"/>
            <w:vAlign w:val="center"/>
          </w:tcPr>
          <w:p w14:paraId="1E9ACCAC">
            <w:pPr>
              <w:spacing w:line="360" w:lineRule="auto"/>
              <w:jc w:val="center"/>
              <w:rPr>
                <w:rFonts w:ascii="Times New Roman" w:hAnsi="Times New Roman" w:cs="Times New Roman"/>
              </w:rPr>
            </w:pPr>
            <w:r>
              <w:rPr>
                <w:rFonts w:ascii="Times New Roman" w:hAnsi="Times New Roman" w:cs="Times New Roman"/>
              </w:rPr>
              <w:t>69.97±0.07</w:t>
            </w:r>
          </w:p>
        </w:tc>
      </w:tr>
      <w:tr w14:paraId="55F525D4">
        <w:tblPrEx>
          <w:tblCellMar>
            <w:top w:w="0" w:type="dxa"/>
            <w:left w:w="108" w:type="dxa"/>
            <w:bottom w:w="0" w:type="dxa"/>
            <w:right w:w="108" w:type="dxa"/>
          </w:tblCellMar>
        </w:tblPrEx>
        <w:trPr>
          <w:trHeight w:val="397" w:hRule="exact"/>
          <w:tblHeader/>
        </w:trPr>
        <w:tc>
          <w:tcPr>
            <w:tcW w:w="1791" w:type="dxa"/>
            <w:vAlign w:val="center"/>
          </w:tcPr>
          <w:p w14:paraId="33788255">
            <w:pPr>
              <w:jc w:val="center"/>
              <w:rPr>
                <w:rFonts w:ascii="Times New Roman" w:hAnsi="Times New Roman" w:cs="Times New Roman"/>
              </w:rPr>
            </w:pPr>
            <w:r>
              <w:rPr>
                <w:rFonts w:ascii="Times New Roman" w:hAnsi="Times New Roman" w:cs="Times New Roman"/>
              </w:rPr>
              <w:t>YM09</w:t>
            </w:r>
          </w:p>
        </w:tc>
        <w:tc>
          <w:tcPr>
            <w:tcW w:w="2525" w:type="dxa"/>
            <w:vAlign w:val="center"/>
          </w:tcPr>
          <w:p w14:paraId="312CC16F">
            <w:pPr>
              <w:jc w:val="center"/>
              <w:rPr>
                <w:rFonts w:ascii="Times New Roman" w:hAnsi="Times New Roman" w:cs="Times New Roman"/>
              </w:rPr>
            </w:pPr>
            <w:r>
              <w:rPr>
                <w:rFonts w:ascii="Times New Roman" w:hAnsi="Times New Roman" w:cs="Times New Roman"/>
              </w:rPr>
              <w:t>74.65±0.01</w:t>
            </w:r>
          </w:p>
        </w:tc>
        <w:tc>
          <w:tcPr>
            <w:tcW w:w="2051" w:type="dxa"/>
            <w:vAlign w:val="center"/>
          </w:tcPr>
          <w:p w14:paraId="1D058EE7">
            <w:pPr>
              <w:jc w:val="center"/>
              <w:rPr>
                <w:rFonts w:ascii="Times New Roman" w:hAnsi="Times New Roman" w:cs="Times New Roman"/>
              </w:rPr>
            </w:pPr>
            <w:r>
              <w:rPr>
                <w:rFonts w:ascii="Times New Roman" w:hAnsi="Times New Roman" w:cs="Times New Roman"/>
              </w:rPr>
              <w:t>71.36±0.09</w:t>
            </w:r>
          </w:p>
        </w:tc>
        <w:tc>
          <w:tcPr>
            <w:tcW w:w="2318" w:type="dxa"/>
            <w:vAlign w:val="center"/>
          </w:tcPr>
          <w:p w14:paraId="7947E3A5">
            <w:pPr>
              <w:spacing w:line="360" w:lineRule="auto"/>
              <w:jc w:val="center"/>
              <w:rPr>
                <w:rFonts w:ascii="Times New Roman" w:hAnsi="Times New Roman" w:cs="Times New Roman"/>
              </w:rPr>
            </w:pPr>
            <w:r>
              <w:rPr>
                <w:rFonts w:ascii="Times New Roman" w:hAnsi="Times New Roman" w:cs="Times New Roman"/>
              </w:rPr>
              <w:t>70.39±0.13</w:t>
            </w:r>
          </w:p>
        </w:tc>
      </w:tr>
      <w:tr w14:paraId="19462964">
        <w:tblPrEx>
          <w:tblCellMar>
            <w:top w:w="0" w:type="dxa"/>
            <w:left w:w="108" w:type="dxa"/>
            <w:bottom w:w="0" w:type="dxa"/>
            <w:right w:w="108" w:type="dxa"/>
          </w:tblCellMar>
        </w:tblPrEx>
        <w:trPr>
          <w:trHeight w:val="397" w:hRule="exact"/>
          <w:tblHeader/>
        </w:trPr>
        <w:tc>
          <w:tcPr>
            <w:tcW w:w="1791" w:type="dxa"/>
            <w:vAlign w:val="center"/>
          </w:tcPr>
          <w:p w14:paraId="38B91DA4">
            <w:pPr>
              <w:jc w:val="center"/>
              <w:rPr>
                <w:rFonts w:ascii="Times New Roman" w:hAnsi="Times New Roman" w:cs="Times New Roman"/>
              </w:rPr>
            </w:pPr>
            <w:r>
              <w:rPr>
                <w:rFonts w:ascii="Times New Roman" w:hAnsi="Times New Roman" w:cs="Times New Roman"/>
              </w:rPr>
              <w:t>YM10</w:t>
            </w:r>
          </w:p>
        </w:tc>
        <w:tc>
          <w:tcPr>
            <w:tcW w:w="2525" w:type="dxa"/>
            <w:vAlign w:val="center"/>
          </w:tcPr>
          <w:p w14:paraId="30B2FE70">
            <w:pPr>
              <w:jc w:val="center"/>
              <w:rPr>
                <w:rFonts w:ascii="Times New Roman" w:hAnsi="Times New Roman" w:cs="Times New Roman"/>
              </w:rPr>
            </w:pPr>
            <w:r>
              <w:rPr>
                <w:rFonts w:ascii="Times New Roman" w:hAnsi="Times New Roman" w:cs="Times New Roman"/>
              </w:rPr>
              <w:t>73.69±0.20</w:t>
            </w:r>
          </w:p>
        </w:tc>
        <w:tc>
          <w:tcPr>
            <w:tcW w:w="2051" w:type="dxa"/>
            <w:vAlign w:val="center"/>
          </w:tcPr>
          <w:p w14:paraId="5DD7CAB4">
            <w:pPr>
              <w:jc w:val="center"/>
              <w:rPr>
                <w:rFonts w:ascii="Times New Roman" w:hAnsi="Times New Roman" w:cs="Times New Roman"/>
              </w:rPr>
            </w:pPr>
            <w:r>
              <w:rPr>
                <w:rFonts w:ascii="Times New Roman" w:hAnsi="Times New Roman" w:cs="Times New Roman"/>
              </w:rPr>
              <w:t>69.8±0.62</w:t>
            </w:r>
          </w:p>
        </w:tc>
        <w:tc>
          <w:tcPr>
            <w:tcW w:w="2318" w:type="dxa"/>
            <w:vAlign w:val="center"/>
          </w:tcPr>
          <w:p w14:paraId="3A884830">
            <w:pPr>
              <w:spacing w:line="360" w:lineRule="auto"/>
              <w:jc w:val="center"/>
              <w:rPr>
                <w:rFonts w:ascii="Times New Roman" w:hAnsi="Times New Roman" w:cs="Times New Roman"/>
              </w:rPr>
            </w:pPr>
            <w:r>
              <w:rPr>
                <w:rFonts w:ascii="Times New Roman" w:hAnsi="Times New Roman" w:cs="Times New Roman"/>
              </w:rPr>
              <w:t>67.97±0.15</w:t>
            </w:r>
          </w:p>
        </w:tc>
      </w:tr>
      <w:tr w14:paraId="5D891215">
        <w:tblPrEx>
          <w:tblCellMar>
            <w:top w:w="0" w:type="dxa"/>
            <w:left w:w="108" w:type="dxa"/>
            <w:bottom w:w="0" w:type="dxa"/>
            <w:right w:w="108" w:type="dxa"/>
          </w:tblCellMar>
        </w:tblPrEx>
        <w:trPr>
          <w:trHeight w:val="397" w:hRule="exact"/>
          <w:tblHeader/>
        </w:trPr>
        <w:tc>
          <w:tcPr>
            <w:tcW w:w="1791" w:type="dxa"/>
            <w:vAlign w:val="center"/>
          </w:tcPr>
          <w:p w14:paraId="33AE8D89">
            <w:pPr>
              <w:jc w:val="center"/>
              <w:rPr>
                <w:rFonts w:ascii="Times New Roman" w:hAnsi="Times New Roman" w:cs="Times New Roman"/>
              </w:rPr>
            </w:pPr>
            <w:r>
              <w:rPr>
                <w:rFonts w:ascii="Times New Roman" w:hAnsi="Times New Roman" w:cs="Times New Roman"/>
              </w:rPr>
              <w:t>YM11</w:t>
            </w:r>
          </w:p>
        </w:tc>
        <w:tc>
          <w:tcPr>
            <w:tcW w:w="2525" w:type="dxa"/>
            <w:vAlign w:val="center"/>
          </w:tcPr>
          <w:p w14:paraId="4A78A10D">
            <w:pPr>
              <w:jc w:val="center"/>
              <w:rPr>
                <w:rFonts w:ascii="Times New Roman" w:hAnsi="Times New Roman" w:cs="Times New Roman"/>
              </w:rPr>
            </w:pPr>
            <w:r>
              <w:rPr>
                <w:rFonts w:ascii="Times New Roman" w:hAnsi="Times New Roman" w:cs="Times New Roman"/>
              </w:rPr>
              <w:t>68.58±0.04</w:t>
            </w:r>
          </w:p>
        </w:tc>
        <w:tc>
          <w:tcPr>
            <w:tcW w:w="2051" w:type="dxa"/>
            <w:vAlign w:val="center"/>
          </w:tcPr>
          <w:p w14:paraId="10C7593A">
            <w:pPr>
              <w:jc w:val="center"/>
              <w:rPr>
                <w:rFonts w:ascii="Times New Roman" w:hAnsi="Times New Roman" w:cs="Times New Roman"/>
              </w:rPr>
            </w:pPr>
            <w:r>
              <w:rPr>
                <w:rFonts w:ascii="Times New Roman" w:hAnsi="Times New Roman" w:cs="Times New Roman"/>
              </w:rPr>
              <w:t>65.75±0.10</w:t>
            </w:r>
          </w:p>
        </w:tc>
        <w:tc>
          <w:tcPr>
            <w:tcW w:w="2318" w:type="dxa"/>
            <w:vAlign w:val="center"/>
          </w:tcPr>
          <w:p w14:paraId="4AB6AFF4">
            <w:pPr>
              <w:spacing w:line="360" w:lineRule="auto"/>
              <w:jc w:val="center"/>
              <w:rPr>
                <w:rFonts w:ascii="Times New Roman" w:hAnsi="Times New Roman" w:cs="Times New Roman"/>
              </w:rPr>
            </w:pPr>
            <w:r>
              <w:rPr>
                <w:rFonts w:ascii="Times New Roman" w:hAnsi="Times New Roman" w:cs="Times New Roman"/>
              </w:rPr>
              <w:t>63.41±0.42</w:t>
            </w:r>
          </w:p>
        </w:tc>
      </w:tr>
      <w:tr w14:paraId="59C8D34C">
        <w:tblPrEx>
          <w:tblCellMar>
            <w:top w:w="0" w:type="dxa"/>
            <w:left w:w="108" w:type="dxa"/>
            <w:bottom w:w="0" w:type="dxa"/>
            <w:right w:w="108" w:type="dxa"/>
          </w:tblCellMar>
        </w:tblPrEx>
        <w:trPr>
          <w:trHeight w:val="397" w:hRule="exact"/>
          <w:tblHeader/>
        </w:trPr>
        <w:tc>
          <w:tcPr>
            <w:tcW w:w="1791" w:type="dxa"/>
            <w:vAlign w:val="center"/>
          </w:tcPr>
          <w:p w14:paraId="6E87A5CA">
            <w:pPr>
              <w:jc w:val="center"/>
              <w:rPr>
                <w:rFonts w:ascii="Times New Roman" w:hAnsi="Times New Roman" w:cs="Times New Roman"/>
              </w:rPr>
            </w:pPr>
            <w:r>
              <w:rPr>
                <w:rFonts w:ascii="Times New Roman" w:hAnsi="Times New Roman" w:cs="Times New Roman"/>
              </w:rPr>
              <w:t>YM12</w:t>
            </w:r>
          </w:p>
        </w:tc>
        <w:tc>
          <w:tcPr>
            <w:tcW w:w="2525" w:type="dxa"/>
            <w:vAlign w:val="center"/>
          </w:tcPr>
          <w:p w14:paraId="64F02161">
            <w:pPr>
              <w:jc w:val="center"/>
              <w:rPr>
                <w:rFonts w:ascii="Times New Roman" w:hAnsi="Times New Roman" w:cs="Times New Roman"/>
              </w:rPr>
            </w:pPr>
            <w:r>
              <w:rPr>
                <w:rFonts w:ascii="Times New Roman" w:hAnsi="Times New Roman" w:cs="Times New Roman"/>
              </w:rPr>
              <w:t>71.99±0.07</w:t>
            </w:r>
          </w:p>
        </w:tc>
        <w:tc>
          <w:tcPr>
            <w:tcW w:w="2051" w:type="dxa"/>
            <w:vAlign w:val="center"/>
          </w:tcPr>
          <w:p w14:paraId="6B3D6EC3">
            <w:pPr>
              <w:jc w:val="center"/>
              <w:rPr>
                <w:rFonts w:ascii="Times New Roman" w:hAnsi="Times New Roman" w:cs="Times New Roman"/>
              </w:rPr>
            </w:pPr>
            <w:r>
              <w:rPr>
                <w:rFonts w:ascii="Times New Roman" w:hAnsi="Times New Roman" w:cs="Times New Roman"/>
              </w:rPr>
              <w:t>68.84±0.83</w:t>
            </w:r>
          </w:p>
        </w:tc>
        <w:tc>
          <w:tcPr>
            <w:tcW w:w="2318" w:type="dxa"/>
            <w:vAlign w:val="center"/>
          </w:tcPr>
          <w:p w14:paraId="2ECF1797">
            <w:pPr>
              <w:spacing w:line="360" w:lineRule="auto"/>
              <w:jc w:val="center"/>
              <w:rPr>
                <w:rFonts w:ascii="Times New Roman" w:hAnsi="Times New Roman" w:cs="Times New Roman"/>
              </w:rPr>
            </w:pPr>
            <w:r>
              <w:rPr>
                <w:rFonts w:ascii="Times New Roman" w:hAnsi="Times New Roman" w:cs="Times New Roman"/>
              </w:rPr>
              <w:t>67.92±0.06</w:t>
            </w:r>
          </w:p>
        </w:tc>
      </w:tr>
      <w:tr w14:paraId="5D6C25C9">
        <w:tblPrEx>
          <w:tblCellMar>
            <w:top w:w="0" w:type="dxa"/>
            <w:left w:w="108" w:type="dxa"/>
            <w:bottom w:w="0" w:type="dxa"/>
            <w:right w:w="108" w:type="dxa"/>
          </w:tblCellMar>
        </w:tblPrEx>
        <w:trPr>
          <w:trHeight w:val="397" w:hRule="exact"/>
          <w:tblHeader/>
        </w:trPr>
        <w:tc>
          <w:tcPr>
            <w:tcW w:w="1791" w:type="dxa"/>
            <w:vAlign w:val="center"/>
          </w:tcPr>
          <w:p w14:paraId="085EE37A">
            <w:pPr>
              <w:jc w:val="center"/>
              <w:rPr>
                <w:rFonts w:ascii="Times New Roman" w:hAnsi="Times New Roman" w:cs="Times New Roman"/>
              </w:rPr>
            </w:pPr>
            <w:r>
              <w:rPr>
                <w:rFonts w:ascii="Times New Roman" w:hAnsi="Times New Roman" w:cs="Times New Roman"/>
              </w:rPr>
              <w:t>YM13</w:t>
            </w:r>
          </w:p>
        </w:tc>
        <w:tc>
          <w:tcPr>
            <w:tcW w:w="2525" w:type="dxa"/>
            <w:vAlign w:val="center"/>
          </w:tcPr>
          <w:p w14:paraId="3B498322">
            <w:pPr>
              <w:jc w:val="center"/>
              <w:rPr>
                <w:rFonts w:ascii="Times New Roman" w:hAnsi="Times New Roman" w:cs="Times New Roman"/>
              </w:rPr>
            </w:pPr>
            <w:r>
              <w:rPr>
                <w:rFonts w:ascii="Times New Roman" w:hAnsi="Times New Roman" w:cs="Times New Roman"/>
              </w:rPr>
              <w:t>73.43±0.10</w:t>
            </w:r>
          </w:p>
        </w:tc>
        <w:tc>
          <w:tcPr>
            <w:tcW w:w="2051" w:type="dxa"/>
            <w:vAlign w:val="center"/>
          </w:tcPr>
          <w:p w14:paraId="0E387197">
            <w:pPr>
              <w:jc w:val="center"/>
              <w:rPr>
                <w:rFonts w:ascii="Times New Roman" w:hAnsi="Times New Roman" w:cs="Times New Roman"/>
              </w:rPr>
            </w:pPr>
            <w:r>
              <w:rPr>
                <w:rFonts w:ascii="Times New Roman" w:hAnsi="Times New Roman" w:cs="Times New Roman"/>
              </w:rPr>
              <w:t>70.78±0.32</w:t>
            </w:r>
          </w:p>
        </w:tc>
        <w:tc>
          <w:tcPr>
            <w:tcW w:w="2318" w:type="dxa"/>
            <w:vAlign w:val="center"/>
          </w:tcPr>
          <w:p w14:paraId="266A7736">
            <w:pPr>
              <w:spacing w:line="360" w:lineRule="auto"/>
              <w:jc w:val="center"/>
              <w:rPr>
                <w:rFonts w:ascii="Times New Roman" w:hAnsi="Times New Roman" w:cs="Times New Roman"/>
              </w:rPr>
            </w:pPr>
            <w:r>
              <w:rPr>
                <w:rFonts w:ascii="Times New Roman" w:hAnsi="Times New Roman" w:cs="Times New Roman"/>
              </w:rPr>
              <w:t>69.82±0.33</w:t>
            </w:r>
          </w:p>
        </w:tc>
      </w:tr>
      <w:tr w14:paraId="0C1FC6A7">
        <w:tblPrEx>
          <w:tblCellMar>
            <w:top w:w="0" w:type="dxa"/>
            <w:left w:w="108" w:type="dxa"/>
            <w:bottom w:w="0" w:type="dxa"/>
            <w:right w:w="108" w:type="dxa"/>
          </w:tblCellMar>
        </w:tblPrEx>
        <w:trPr>
          <w:trHeight w:val="397" w:hRule="exact"/>
          <w:tblHeader/>
        </w:trPr>
        <w:tc>
          <w:tcPr>
            <w:tcW w:w="1791" w:type="dxa"/>
            <w:vAlign w:val="center"/>
          </w:tcPr>
          <w:p w14:paraId="18F281B0">
            <w:pPr>
              <w:jc w:val="center"/>
              <w:rPr>
                <w:rFonts w:ascii="Times New Roman" w:hAnsi="Times New Roman" w:cs="Times New Roman"/>
              </w:rPr>
            </w:pPr>
            <w:r>
              <w:rPr>
                <w:rFonts w:ascii="Times New Roman" w:hAnsi="Times New Roman" w:cs="Times New Roman"/>
              </w:rPr>
              <w:t>YM14</w:t>
            </w:r>
          </w:p>
        </w:tc>
        <w:tc>
          <w:tcPr>
            <w:tcW w:w="2525" w:type="dxa"/>
            <w:vAlign w:val="center"/>
          </w:tcPr>
          <w:p w14:paraId="2A660578">
            <w:pPr>
              <w:jc w:val="center"/>
              <w:rPr>
                <w:rFonts w:ascii="Times New Roman" w:hAnsi="Times New Roman" w:cs="Times New Roman"/>
              </w:rPr>
            </w:pPr>
            <w:r>
              <w:rPr>
                <w:rFonts w:ascii="Times New Roman" w:hAnsi="Times New Roman" w:cs="Times New Roman"/>
              </w:rPr>
              <w:t>72.11±0.01</w:t>
            </w:r>
          </w:p>
        </w:tc>
        <w:tc>
          <w:tcPr>
            <w:tcW w:w="2051" w:type="dxa"/>
            <w:vAlign w:val="center"/>
          </w:tcPr>
          <w:p w14:paraId="26EC9FD7">
            <w:pPr>
              <w:jc w:val="center"/>
              <w:rPr>
                <w:rFonts w:ascii="Times New Roman" w:hAnsi="Times New Roman" w:cs="Times New Roman"/>
              </w:rPr>
            </w:pPr>
            <w:r>
              <w:rPr>
                <w:rFonts w:ascii="Times New Roman" w:hAnsi="Times New Roman" w:cs="Times New Roman"/>
              </w:rPr>
              <w:t>67.85±0.20</w:t>
            </w:r>
          </w:p>
        </w:tc>
        <w:tc>
          <w:tcPr>
            <w:tcW w:w="2318" w:type="dxa"/>
            <w:vAlign w:val="center"/>
          </w:tcPr>
          <w:p w14:paraId="5EBCCD60">
            <w:pPr>
              <w:spacing w:line="360" w:lineRule="auto"/>
              <w:jc w:val="center"/>
              <w:rPr>
                <w:rFonts w:ascii="Times New Roman" w:hAnsi="Times New Roman" w:cs="Times New Roman"/>
              </w:rPr>
            </w:pPr>
            <w:r>
              <w:rPr>
                <w:rFonts w:ascii="Times New Roman" w:hAnsi="Times New Roman" w:cs="Times New Roman"/>
              </w:rPr>
              <w:t>67.78±0.21</w:t>
            </w:r>
          </w:p>
        </w:tc>
      </w:tr>
      <w:tr w14:paraId="43D2A447">
        <w:tblPrEx>
          <w:tblCellMar>
            <w:top w:w="0" w:type="dxa"/>
            <w:left w:w="108" w:type="dxa"/>
            <w:bottom w:w="0" w:type="dxa"/>
            <w:right w:w="108" w:type="dxa"/>
          </w:tblCellMar>
        </w:tblPrEx>
        <w:trPr>
          <w:trHeight w:val="397" w:hRule="exact"/>
          <w:tblHeader/>
        </w:trPr>
        <w:tc>
          <w:tcPr>
            <w:tcW w:w="1791" w:type="dxa"/>
            <w:vAlign w:val="center"/>
          </w:tcPr>
          <w:p w14:paraId="3A14A1ED">
            <w:pPr>
              <w:jc w:val="center"/>
              <w:rPr>
                <w:rFonts w:ascii="Times New Roman" w:hAnsi="Times New Roman" w:cs="Times New Roman"/>
              </w:rPr>
            </w:pPr>
            <w:r>
              <w:rPr>
                <w:rFonts w:ascii="Times New Roman" w:hAnsi="Times New Roman" w:cs="Times New Roman"/>
              </w:rPr>
              <w:t>YM15</w:t>
            </w:r>
          </w:p>
        </w:tc>
        <w:tc>
          <w:tcPr>
            <w:tcW w:w="2525" w:type="dxa"/>
            <w:vAlign w:val="center"/>
          </w:tcPr>
          <w:p w14:paraId="4494CFD9">
            <w:pPr>
              <w:jc w:val="center"/>
              <w:rPr>
                <w:rFonts w:ascii="Times New Roman" w:hAnsi="Times New Roman" w:cs="Times New Roman"/>
              </w:rPr>
            </w:pPr>
            <w:r>
              <w:rPr>
                <w:rFonts w:ascii="Times New Roman" w:hAnsi="Times New Roman" w:cs="Times New Roman"/>
              </w:rPr>
              <w:t>73.82±0.15</w:t>
            </w:r>
          </w:p>
        </w:tc>
        <w:tc>
          <w:tcPr>
            <w:tcW w:w="2051" w:type="dxa"/>
            <w:vAlign w:val="center"/>
          </w:tcPr>
          <w:p w14:paraId="1BF68E01">
            <w:pPr>
              <w:jc w:val="center"/>
              <w:rPr>
                <w:rFonts w:ascii="Times New Roman" w:hAnsi="Times New Roman" w:cs="Times New Roman"/>
              </w:rPr>
            </w:pPr>
            <w:r>
              <w:rPr>
                <w:rFonts w:ascii="Times New Roman" w:hAnsi="Times New Roman" w:cs="Times New Roman"/>
              </w:rPr>
              <w:t>69.52±0.01</w:t>
            </w:r>
          </w:p>
        </w:tc>
        <w:tc>
          <w:tcPr>
            <w:tcW w:w="2318" w:type="dxa"/>
            <w:vAlign w:val="center"/>
          </w:tcPr>
          <w:p w14:paraId="5CB26B7E">
            <w:pPr>
              <w:spacing w:line="360" w:lineRule="auto"/>
              <w:jc w:val="center"/>
              <w:rPr>
                <w:rFonts w:ascii="Times New Roman" w:hAnsi="Times New Roman" w:cs="Times New Roman"/>
              </w:rPr>
            </w:pPr>
            <w:r>
              <w:rPr>
                <w:rFonts w:ascii="Times New Roman" w:hAnsi="Times New Roman" w:cs="Times New Roman"/>
              </w:rPr>
              <w:t>69.13±0.13</w:t>
            </w:r>
          </w:p>
        </w:tc>
      </w:tr>
      <w:tr w14:paraId="43909395">
        <w:tblPrEx>
          <w:tblCellMar>
            <w:top w:w="0" w:type="dxa"/>
            <w:left w:w="108" w:type="dxa"/>
            <w:bottom w:w="0" w:type="dxa"/>
            <w:right w:w="108" w:type="dxa"/>
          </w:tblCellMar>
        </w:tblPrEx>
        <w:trPr>
          <w:trHeight w:val="397" w:hRule="exact"/>
          <w:tblHeader/>
        </w:trPr>
        <w:tc>
          <w:tcPr>
            <w:tcW w:w="1791" w:type="dxa"/>
            <w:vAlign w:val="center"/>
          </w:tcPr>
          <w:p w14:paraId="02F51A07">
            <w:pPr>
              <w:jc w:val="center"/>
              <w:rPr>
                <w:rFonts w:ascii="Times New Roman" w:hAnsi="Times New Roman" w:cs="Times New Roman"/>
              </w:rPr>
            </w:pPr>
            <w:r>
              <w:rPr>
                <w:rFonts w:ascii="Times New Roman" w:hAnsi="Times New Roman" w:cs="Times New Roman"/>
              </w:rPr>
              <w:t>YM16</w:t>
            </w:r>
          </w:p>
        </w:tc>
        <w:tc>
          <w:tcPr>
            <w:tcW w:w="2525" w:type="dxa"/>
            <w:vAlign w:val="center"/>
          </w:tcPr>
          <w:p w14:paraId="0FF4370B">
            <w:pPr>
              <w:jc w:val="center"/>
              <w:rPr>
                <w:rFonts w:ascii="Times New Roman" w:hAnsi="Times New Roman" w:cs="Times New Roman"/>
              </w:rPr>
            </w:pPr>
            <w:r>
              <w:rPr>
                <w:rFonts w:ascii="Times New Roman" w:hAnsi="Times New Roman" w:cs="Times New Roman"/>
              </w:rPr>
              <w:t>73.89±0.06</w:t>
            </w:r>
          </w:p>
        </w:tc>
        <w:tc>
          <w:tcPr>
            <w:tcW w:w="2051" w:type="dxa"/>
            <w:vAlign w:val="center"/>
          </w:tcPr>
          <w:p w14:paraId="26F052D4">
            <w:pPr>
              <w:jc w:val="center"/>
              <w:rPr>
                <w:rFonts w:ascii="Times New Roman" w:hAnsi="Times New Roman" w:cs="Times New Roman"/>
              </w:rPr>
            </w:pPr>
            <w:r>
              <w:rPr>
                <w:rFonts w:ascii="Times New Roman" w:hAnsi="Times New Roman" w:cs="Times New Roman"/>
              </w:rPr>
              <w:t>68.64±0.13</w:t>
            </w:r>
          </w:p>
        </w:tc>
        <w:tc>
          <w:tcPr>
            <w:tcW w:w="2318" w:type="dxa"/>
            <w:vAlign w:val="center"/>
          </w:tcPr>
          <w:p w14:paraId="6CA6517A">
            <w:pPr>
              <w:spacing w:line="360" w:lineRule="auto"/>
              <w:jc w:val="center"/>
              <w:rPr>
                <w:rFonts w:ascii="Times New Roman" w:hAnsi="Times New Roman" w:cs="Times New Roman"/>
              </w:rPr>
            </w:pPr>
            <w:r>
              <w:rPr>
                <w:rFonts w:ascii="Times New Roman" w:hAnsi="Times New Roman" w:cs="Times New Roman"/>
              </w:rPr>
              <w:t>68.41±0.06</w:t>
            </w:r>
          </w:p>
        </w:tc>
      </w:tr>
      <w:tr w14:paraId="0703B42F">
        <w:tblPrEx>
          <w:tblCellMar>
            <w:top w:w="0" w:type="dxa"/>
            <w:left w:w="108" w:type="dxa"/>
            <w:bottom w:w="0" w:type="dxa"/>
            <w:right w:w="108" w:type="dxa"/>
          </w:tblCellMar>
        </w:tblPrEx>
        <w:trPr>
          <w:trHeight w:val="397" w:hRule="exact"/>
          <w:tblHeader/>
        </w:trPr>
        <w:tc>
          <w:tcPr>
            <w:tcW w:w="1791" w:type="dxa"/>
            <w:vAlign w:val="center"/>
          </w:tcPr>
          <w:p w14:paraId="1C7A8217">
            <w:pPr>
              <w:jc w:val="center"/>
              <w:rPr>
                <w:rFonts w:ascii="Times New Roman" w:hAnsi="Times New Roman" w:cs="Times New Roman"/>
              </w:rPr>
            </w:pPr>
            <w:r>
              <w:rPr>
                <w:rFonts w:ascii="Times New Roman" w:hAnsi="Times New Roman" w:cs="Times New Roman"/>
              </w:rPr>
              <w:t>YM17</w:t>
            </w:r>
          </w:p>
        </w:tc>
        <w:tc>
          <w:tcPr>
            <w:tcW w:w="2525" w:type="dxa"/>
            <w:vAlign w:val="center"/>
          </w:tcPr>
          <w:p w14:paraId="22DD605C">
            <w:pPr>
              <w:jc w:val="center"/>
              <w:rPr>
                <w:rFonts w:ascii="Times New Roman" w:hAnsi="Times New Roman" w:cs="Times New Roman"/>
              </w:rPr>
            </w:pPr>
            <w:r>
              <w:rPr>
                <w:rFonts w:ascii="Times New Roman" w:hAnsi="Times New Roman" w:cs="Times New Roman"/>
              </w:rPr>
              <w:t>72.99±0.13</w:t>
            </w:r>
          </w:p>
        </w:tc>
        <w:tc>
          <w:tcPr>
            <w:tcW w:w="2051" w:type="dxa"/>
            <w:vAlign w:val="center"/>
          </w:tcPr>
          <w:p w14:paraId="21C65F26">
            <w:pPr>
              <w:jc w:val="center"/>
              <w:rPr>
                <w:rFonts w:ascii="Times New Roman" w:hAnsi="Times New Roman" w:cs="Times New Roman"/>
              </w:rPr>
            </w:pPr>
            <w:r>
              <w:rPr>
                <w:rFonts w:ascii="Times New Roman" w:hAnsi="Times New Roman" w:cs="Times New Roman"/>
              </w:rPr>
              <w:t>72.00±0.07</w:t>
            </w:r>
          </w:p>
        </w:tc>
        <w:tc>
          <w:tcPr>
            <w:tcW w:w="2318" w:type="dxa"/>
            <w:vAlign w:val="center"/>
          </w:tcPr>
          <w:p w14:paraId="523CF159">
            <w:pPr>
              <w:spacing w:line="360" w:lineRule="auto"/>
              <w:jc w:val="center"/>
              <w:rPr>
                <w:rFonts w:ascii="Times New Roman" w:hAnsi="Times New Roman" w:cs="Times New Roman"/>
              </w:rPr>
            </w:pPr>
            <w:r>
              <w:rPr>
                <w:rFonts w:ascii="Times New Roman" w:hAnsi="Times New Roman" w:cs="Times New Roman"/>
              </w:rPr>
              <w:t>68.61±0.29</w:t>
            </w:r>
          </w:p>
        </w:tc>
      </w:tr>
      <w:tr w14:paraId="6AB709F7">
        <w:tblPrEx>
          <w:tblCellMar>
            <w:top w:w="0" w:type="dxa"/>
            <w:left w:w="108" w:type="dxa"/>
            <w:bottom w:w="0" w:type="dxa"/>
            <w:right w:w="108" w:type="dxa"/>
          </w:tblCellMar>
        </w:tblPrEx>
        <w:trPr>
          <w:trHeight w:val="397" w:hRule="exact"/>
          <w:tblHeader/>
        </w:trPr>
        <w:tc>
          <w:tcPr>
            <w:tcW w:w="1791" w:type="dxa"/>
            <w:vAlign w:val="center"/>
          </w:tcPr>
          <w:p w14:paraId="3424222D">
            <w:pPr>
              <w:jc w:val="center"/>
              <w:rPr>
                <w:rFonts w:ascii="Times New Roman" w:hAnsi="Times New Roman" w:cs="Times New Roman"/>
              </w:rPr>
            </w:pPr>
            <w:r>
              <w:rPr>
                <w:rFonts w:ascii="Times New Roman" w:hAnsi="Times New Roman" w:cs="Times New Roman"/>
              </w:rPr>
              <w:t>YM18</w:t>
            </w:r>
          </w:p>
        </w:tc>
        <w:tc>
          <w:tcPr>
            <w:tcW w:w="2525" w:type="dxa"/>
            <w:vAlign w:val="center"/>
          </w:tcPr>
          <w:p w14:paraId="693FED8A">
            <w:pPr>
              <w:jc w:val="center"/>
              <w:rPr>
                <w:rFonts w:ascii="Times New Roman" w:hAnsi="Times New Roman" w:cs="Times New Roman"/>
              </w:rPr>
            </w:pPr>
            <w:r>
              <w:rPr>
                <w:rFonts w:ascii="Times New Roman" w:hAnsi="Times New Roman" w:cs="Times New Roman"/>
              </w:rPr>
              <w:t>77.13±0.22</w:t>
            </w:r>
          </w:p>
        </w:tc>
        <w:tc>
          <w:tcPr>
            <w:tcW w:w="2051" w:type="dxa"/>
            <w:vAlign w:val="center"/>
          </w:tcPr>
          <w:p w14:paraId="5488B520">
            <w:pPr>
              <w:jc w:val="center"/>
              <w:rPr>
                <w:rFonts w:ascii="Times New Roman" w:hAnsi="Times New Roman" w:cs="Times New Roman"/>
              </w:rPr>
            </w:pPr>
            <w:r>
              <w:rPr>
                <w:rFonts w:ascii="Times New Roman" w:hAnsi="Times New Roman" w:cs="Times New Roman"/>
              </w:rPr>
              <w:t>70.91±0.33</w:t>
            </w:r>
          </w:p>
        </w:tc>
        <w:tc>
          <w:tcPr>
            <w:tcW w:w="2318" w:type="dxa"/>
            <w:vAlign w:val="center"/>
          </w:tcPr>
          <w:p w14:paraId="1B997F58">
            <w:pPr>
              <w:spacing w:line="360" w:lineRule="auto"/>
              <w:jc w:val="center"/>
              <w:rPr>
                <w:rFonts w:ascii="Times New Roman" w:hAnsi="Times New Roman" w:cs="Times New Roman"/>
              </w:rPr>
            </w:pPr>
            <w:r>
              <w:rPr>
                <w:rFonts w:ascii="Times New Roman" w:hAnsi="Times New Roman" w:cs="Times New Roman"/>
              </w:rPr>
              <w:t>73.46±0.21</w:t>
            </w:r>
          </w:p>
        </w:tc>
      </w:tr>
      <w:tr w14:paraId="2FCAED26">
        <w:tblPrEx>
          <w:tblCellMar>
            <w:top w:w="0" w:type="dxa"/>
            <w:left w:w="108" w:type="dxa"/>
            <w:bottom w:w="0" w:type="dxa"/>
            <w:right w:w="108" w:type="dxa"/>
          </w:tblCellMar>
        </w:tblPrEx>
        <w:trPr>
          <w:trHeight w:val="397" w:hRule="exact"/>
          <w:tblHeader/>
        </w:trPr>
        <w:tc>
          <w:tcPr>
            <w:tcW w:w="1791" w:type="dxa"/>
            <w:vAlign w:val="center"/>
          </w:tcPr>
          <w:p w14:paraId="0B062F03">
            <w:pPr>
              <w:jc w:val="center"/>
              <w:rPr>
                <w:rFonts w:ascii="Times New Roman" w:hAnsi="Times New Roman" w:cs="Times New Roman"/>
              </w:rPr>
            </w:pPr>
            <w:r>
              <w:rPr>
                <w:rFonts w:ascii="Times New Roman" w:hAnsi="Times New Roman" w:cs="Times New Roman"/>
              </w:rPr>
              <w:t>YM19</w:t>
            </w:r>
          </w:p>
        </w:tc>
        <w:tc>
          <w:tcPr>
            <w:tcW w:w="2525" w:type="dxa"/>
            <w:vAlign w:val="center"/>
          </w:tcPr>
          <w:p w14:paraId="0746373F">
            <w:pPr>
              <w:jc w:val="center"/>
              <w:rPr>
                <w:rFonts w:ascii="Times New Roman" w:hAnsi="Times New Roman" w:cs="Times New Roman"/>
              </w:rPr>
            </w:pPr>
            <w:r>
              <w:rPr>
                <w:rFonts w:ascii="Times New Roman" w:hAnsi="Times New Roman" w:cs="Times New Roman"/>
              </w:rPr>
              <w:t>74.11±0.07</w:t>
            </w:r>
          </w:p>
        </w:tc>
        <w:tc>
          <w:tcPr>
            <w:tcW w:w="2051" w:type="dxa"/>
            <w:vAlign w:val="center"/>
          </w:tcPr>
          <w:p w14:paraId="2BC2255C">
            <w:pPr>
              <w:jc w:val="center"/>
              <w:rPr>
                <w:rFonts w:ascii="Times New Roman" w:hAnsi="Times New Roman" w:cs="Times New Roman"/>
              </w:rPr>
            </w:pPr>
            <w:r>
              <w:rPr>
                <w:rFonts w:ascii="Times New Roman" w:hAnsi="Times New Roman" w:cs="Times New Roman"/>
              </w:rPr>
              <w:t>69.92±1.13</w:t>
            </w:r>
          </w:p>
        </w:tc>
        <w:tc>
          <w:tcPr>
            <w:tcW w:w="2318" w:type="dxa"/>
            <w:vAlign w:val="center"/>
          </w:tcPr>
          <w:p w14:paraId="521FFA1C">
            <w:pPr>
              <w:spacing w:line="360" w:lineRule="auto"/>
              <w:jc w:val="center"/>
              <w:rPr>
                <w:rFonts w:ascii="Times New Roman" w:hAnsi="Times New Roman" w:cs="Times New Roman"/>
              </w:rPr>
            </w:pPr>
            <w:r>
              <w:rPr>
                <w:rFonts w:ascii="Times New Roman" w:hAnsi="Times New Roman" w:cs="Times New Roman"/>
              </w:rPr>
              <w:t>67.17±0.18</w:t>
            </w:r>
          </w:p>
        </w:tc>
      </w:tr>
      <w:tr w14:paraId="60F07CF5">
        <w:tblPrEx>
          <w:tblCellMar>
            <w:top w:w="0" w:type="dxa"/>
            <w:left w:w="108" w:type="dxa"/>
            <w:bottom w:w="0" w:type="dxa"/>
            <w:right w:w="108" w:type="dxa"/>
          </w:tblCellMar>
        </w:tblPrEx>
        <w:trPr>
          <w:trHeight w:val="397" w:hRule="exact"/>
          <w:tblHeader/>
        </w:trPr>
        <w:tc>
          <w:tcPr>
            <w:tcW w:w="1791" w:type="dxa"/>
            <w:vAlign w:val="center"/>
          </w:tcPr>
          <w:p w14:paraId="16F890A4">
            <w:pPr>
              <w:jc w:val="center"/>
              <w:rPr>
                <w:rFonts w:ascii="Times New Roman" w:hAnsi="Times New Roman" w:cs="Times New Roman"/>
              </w:rPr>
            </w:pPr>
            <w:r>
              <w:rPr>
                <w:rFonts w:ascii="Times New Roman" w:hAnsi="Times New Roman" w:cs="Times New Roman"/>
              </w:rPr>
              <w:t>YM20</w:t>
            </w:r>
          </w:p>
        </w:tc>
        <w:tc>
          <w:tcPr>
            <w:tcW w:w="2525" w:type="dxa"/>
            <w:vAlign w:val="center"/>
          </w:tcPr>
          <w:p w14:paraId="58D1A224">
            <w:pPr>
              <w:jc w:val="center"/>
              <w:rPr>
                <w:rFonts w:ascii="Times New Roman" w:hAnsi="Times New Roman" w:cs="Times New Roman"/>
              </w:rPr>
            </w:pPr>
            <w:r>
              <w:rPr>
                <w:rFonts w:ascii="Times New Roman" w:hAnsi="Times New Roman" w:cs="Times New Roman"/>
              </w:rPr>
              <w:t>75.99±0.19</w:t>
            </w:r>
          </w:p>
        </w:tc>
        <w:tc>
          <w:tcPr>
            <w:tcW w:w="2051" w:type="dxa"/>
            <w:vAlign w:val="center"/>
          </w:tcPr>
          <w:p w14:paraId="7D46329D">
            <w:pPr>
              <w:jc w:val="center"/>
              <w:rPr>
                <w:rFonts w:ascii="Times New Roman" w:hAnsi="Times New Roman" w:cs="Times New Roman"/>
              </w:rPr>
            </w:pPr>
            <w:r>
              <w:rPr>
                <w:rFonts w:ascii="Times New Roman" w:hAnsi="Times New Roman" w:cs="Times New Roman"/>
              </w:rPr>
              <w:t>70.70±0.12</w:t>
            </w:r>
          </w:p>
        </w:tc>
        <w:tc>
          <w:tcPr>
            <w:tcW w:w="2318" w:type="dxa"/>
            <w:vAlign w:val="center"/>
          </w:tcPr>
          <w:p w14:paraId="0910B4B0">
            <w:pPr>
              <w:spacing w:line="360" w:lineRule="auto"/>
              <w:jc w:val="center"/>
              <w:rPr>
                <w:rFonts w:ascii="Times New Roman" w:hAnsi="Times New Roman" w:cs="Times New Roman"/>
              </w:rPr>
            </w:pPr>
            <w:r>
              <w:rPr>
                <w:rFonts w:ascii="Times New Roman" w:hAnsi="Times New Roman" w:cs="Times New Roman"/>
              </w:rPr>
              <w:t>69.30±0.44</w:t>
            </w:r>
          </w:p>
        </w:tc>
      </w:tr>
      <w:tr w14:paraId="3547B14A">
        <w:tblPrEx>
          <w:tblCellMar>
            <w:top w:w="0" w:type="dxa"/>
            <w:left w:w="108" w:type="dxa"/>
            <w:bottom w:w="0" w:type="dxa"/>
            <w:right w:w="108" w:type="dxa"/>
          </w:tblCellMar>
        </w:tblPrEx>
        <w:trPr>
          <w:trHeight w:val="397" w:hRule="exact"/>
          <w:tblHeader/>
        </w:trPr>
        <w:tc>
          <w:tcPr>
            <w:tcW w:w="1791" w:type="dxa"/>
            <w:vAlign w:val="center"/>
          </w:tcPr>
          <w:p w14:paraId="04F6A59D">
            <w:pPr>
              <w:jc w:val="center"/>
              <w:rPr>
                <w:rFonts w:ascii="Times New Roman" w:hAnsi="Times New Roman" w:cs="Times New Roman"/>
              </w:rPr>
            </w:pPr>
            <w:r>
              <w:rPr>
                <w:rFonts w:ascii="Times New Roman" w:hAnsi="Times New Roman" w:cs="Times New Roman"/>
              </w:rPr>
              <w:t>YM21</w:t>
            </w:r>
          </w:p>
        </w:tc>
        <w:tc>
          <w:tcPr>
            <w:tcW w:w="2525" w:type="dxa"/>
            <w:vAlign w:val="center"/>
          </w:tcPr>
          <w:p w14:paraId="053C2D03">
            <w:pPr>
              <w:jc w:val="center"/>
              <w:rPr>
                <w:rFonts w:ascii="Times New Roman" w:hAnsi="Times New Roman" w:cs="Times New Roman"/>
              </w:rPr>
            </w:pPr>
            <w:r>
              <w:rPr>
                <w:rFonts w:ascii="Times New Roman" w:hAnsi="Times New Roman" w:cs="Times New Roman"/>
              </w:rPr>
              <w:t>76.15±0.57</w:t>
            </w:r>
          </w:p>
        </w:tc>
        <w:tc>
          <w:tcPr>
            <w:tcW w:w="2051" w:type="dxa"/>
            <w:vAlign w:val="center"/>
          </w:tcPr>
          <w:p w14:paraId="70978FAC">
            <w:pPr>
              <w:jc w:val="center"/>
              <w:rPr>
                <w:rFonts w:ascii="Times New Roman" w:hAnsi="Times New Roman" w:cs="Times New Roman"/>
              </w:rPr>
            </w:pPr>
            <w:r>
              <w:rPr>
                <w:rFonts w:ascii="Times New Roman" w:hAnsi="Times New Roman" w:cs="Times New Roman"/>
              </w:rPr>
              <w:t>70.61±0.37</w:t>
            </w:r>
          </w:p>
        </w:tc>
        <w:tc>
          <w:tcPr>
            <w:tcW w:w="2318" w:type="dxa"/>
            <w:vAlign w:val="center"/>
          </w:tcPr>
          <w:p w14:paraId="016FB38C">
            <w:pPr>
              <w:spacing w:line="360" w:lineRule="auto"/>
              <w:jc w:val="center"/>
              <w:rPr>
                <w:rFonts w:ascii="Times New Roman" w:hAnsi="Times New Roman" w:cs="Times New Roman"/>
              </w:rPr>
            </w:pPr>
            <w:r>
              <w:rPr>
                <w:rFonts w:ascii="Times New Roman" w:hAnsi="Times New Roman" w:cs="Times New Roman"/>
              </w:rPr>
              <w:t>68.58±0.62</w:t>
            </w:r>
          </w:p>
        </w:tc>
      </w:tr>
      <w:tr w14:paraId="650C87DD">
        <w:tblPrEx>
          <w:tblCellMar>
            <w:top w:w="0" w:type="dxa"/>
            <w:left w:w="108" w:type="dxa"/>
            <w:bottom w:w="0" w:type="dxa"/>
            <w:right w:w="108" w:type="dxa"/>
          </w:tblCellMar>
        </w:tblPrEx>
        <w:trPr>
          <w:trHeight w:val="397" w:hRule="exact"/>
          <w:tblHeader/>
        </w:trPr>
        <w:tc>
          <w:tcPr>
            <w:tcW w:w="1791" w:type="dxa"/>
            <w:vAlign w:val="center"/>
          </w:tcPr>
          <w:p w14:paraId="1A693CE7">
            <w:pPr>
              <w:jc w:val="center"/>
              <w:rPr>
                <w:rFonts w:ascii="Times New Roman" w:hAnsi="Times New Roman" w:cs="Times New Roman"/>
              </w:rPr>
            </w:pPr>
            <w:r>
              <w:rPr>
                <w:rFonts w:ascii="Times New Roman" w:hAnsi="Times New Roman" w:cs="Times New Roman"/>
              </w:rPr>
              <w:t>YM22</w:t>
            </w:r>
          </w:p>
        </w:tc>
        <w:tc>
          <w:tcPr>
            <w:tcW w:w="2525" w:type="dxa"/>
            <w:vAlign w:val="center"/>
          </w:tcPr>
          <w:p w14:paraId="525220CD">
            <w:pPr>
              <w:jc w:val="center"/>
              <w:rPr>
                <w:rFonts w:ascii="Times New Roman" w:hAnsi="Times New Roman" w:cs="Times New Roman"/>
              </w:rPr>
            </w:pPr>
            <w:r>
              <w:rPr>
                <w:rFonts w:ascii="Times New Roman" w:hAnsi="Times New Roman" w:cs="Times New Roman"/>
              </w:rPr>
              <w:t>78.59±0.36</w:t>
            </w:r>
          </w:p>
        </w:tc>
        <w:tc>
          <w:tcPr>
            <w:tcW w:w="2051" w:type="dxa"/>
            <w:vAlign w:val="center"/>
          </w:tcPr>
          <w:p w14:paraId="33C1477B">
            <w:pPr>
              <w:jc w:val="center"/>
              <w:rPr>
                <w:rFonts w:ascii="Times New Roman" w:hAnsi="Times New Roman" w:cs="Times New Roman"/>
              </w:rPr>
            </w:pPr>
            <w:r>
              <w:rPr>
                <w:rFonts w:ascii="Times New Roman" w:hAnsi="Times New Roman" w:cs="Times New Roman"/>
              </w:rPr>
              <w:t>72.44±0.11</w:t>
            </w:r>
          </w:p>
        </w:tc>
        <w:tc>
          <w:tcPr>
            <w:tcW w:w="2318" w:type="dxa"/>
            <w:vAlign w:val="center"/>
          </w:tcPr>
          <w:p w14:paraId="18E0042A">
            <w:pPr>
              <w:spacing w:line="360" w:lineRule="auto"/>
              <w:jc w:val="center"/>
              <w:rPr>
                <w:rFonts w:ascii="Times New Roman" w:hAnsi="Times New Roman" w:cs="Times New Roman"/>
              </w:rPr>
            </w:pPr>
            <w:r>
              <w:rPr>
                <w:rFonts w:ascii="Times New Roman" w:hAnsi="Times New Roman" w:cs="Times New Roman"/>
              </w:rPr>
              <w:t>72.92±0.34</w:t>
            </w:r>
          </w:p>
        </w:tc>
      </w:tr>
      <w:tr w14:paraId="0691F0AC">
        <w:tblPrEx>
          <w:tblCellMar>
            <w:top w:w="0" w:type="dxa"/>
            <w:left w:w="108" w:type="dxa"/>
            <w:bottom w:w="0" w:type="dxa"/>
            <w:right w:w="108" w:type="dxa"/>
          </w:tblCellMar>
        </w:tblPrEx>
        <w:trPr>
          <w:trHeight w:val="397" w:hRule="exact"/>
          <w:tblHeader/>
        </w:trPr>
        <w:tc>
          <w:tcPr>
            <w:tcW w:w="1791" w:type="dxa"/>
            <w:vAlign w:val="center"/>
          </w:tcPr>
          <w:p w14:paraId="2CC50380">
            <w:pPr>
              <w:jc w:val="center"/>
              <w:rPr>
                <w:rFonts w:ascii="Times New Roman" w:hAnsi="Times New Roman" w:cs="Times New Roman"/>
              </w:rPr>
            </w:pPr>
            <w:r>
              <w:rPr>
                <w:rFonts w:ascii="Times New Roman" w:hAnsi="Times New Roman" w:cs="Times New Roman"/>
              </w:rPr>
              <w:t>YM23</w:t>
            </w:r>
          </w:p>
        </w:tc>
        <w:tc>
          <w:tcPr>
            <w:tcW w:w="2525" w:type="dxa"/>
            <w:vAlign w:val="center"/>
          </w:tcPr>
          <w:p w14:paraId="1D2413A7">
            <w:pPr>
              <w:jc w:val="center"/>
              <w:rPr>
                <w:rFonts w:ascii="Times New Roman" w:hAnsi="Times New Roman" w:cs="Times New Roman"/>
              </w:rPr>
            </w:pPr>
            <w:r>
              <w:rPr>
                <w:rFonts w:ascii="Times New Roman" w:hAnsi="Times New Roman" w:cs="Times New Roman"/>
              </w:rPr>
              <w:t>72.95±0.21</w:t>
            </w:r>
          </w:p>
        </w:tc>
        <w:tc>
          <w:tcPr>
            <w:tcW w:w="2051" w:type="dxa"/>
            <w:vAlign w:val="center"/>
          </w:tcPr>
          <w:p w14:paraId="0C12B275">
            <w:pPr>
              <w:jc w:val="center"/>
              <w:rPr>
                <w:rFonts w:ascii="Times New Roman" w:hAnsi="Times New Roman" w:cs="Times New Roman"/>
              </w:rPr>
            </w:pPr>
            <w:r>
              <w:rPr>
                <w:rFonts w:ascii="Times New Roman" w:hAnsi="Times New Roman" w:cs="Times New Roman"/>
              </w:rPr>
              <w:t>65.13±0.01</w:t>
            </w:r>
          </w:p>
        </w:tc>
        <w:tc>
          <w:tcPr>
            <w:tcW w:w="2318" w:type="dxa"/>
            <w:vAlign w:val="center"/>
          </w:tcPr>
          <w:p w14:paraId="4454DC3D">
            <w:pPr>
              <w:spacing w:line="360" w:lineRule="auto"/>
              <w:jc w:val="center"/>
              <w:rPr>
                <w:rFonts w:ascii="Times New Roman" w:hAnsi="Times New Roman" w:cs="Times New Roman"/>
              </w:rPr>
            </w:pPr>
            <w:r>
              <w:rPr>
                <w:rFonts w:ascii="Times New Roman" w:hAnsi="Times New Roman" w:cs="Times New Roman"/>
              </w:rPr>
              <w:t>66.71±0.02</w:t>
            </w:r>
          </w:p>
        </w:tc>
      </w:tr>
      <w:tr w14:paraId="51D6D9AD">
        <w:tblPrEx>
          <w:tblCellMar>
            <w:top w:w="0" w:type="dxa"/>
            <w:left w:w="108" w:type="dxa"/>
            <w:bottom w:w="0" w:type="dxa"/>
            <w:right w:w="108" w:type="dxa"/>
          </w:tblCellMar>
        </w:tblPrEx>
        <w:trPr>
          <w:trHeight w:val="397" w:hRule="exact"/>
          <w:tblHeader/>
        </w:trPr>
        <w:tc>
          <w:tcPr>
            <w:tcW w:w="1791" w:type="dxa"/>
            <w:vAlign w:val="center"/>
          </w:tcPr>
          <w:p w14:paraId="27CAA82A">
            <w:pPr>
              <w:jc w:val="center"/>
              <w:rPr>
                <w:rFonts w:ascii="Times New Roman" w:hAnsi="Times New Roman" w:cs="Times New Roman"/>
              </w:rPr>
            </w:pPr>
            <w:r>
              <w:rPr>
                <w:rFonts w:ascii="Times New Roman" w:hAnsi="Times New Roman" w:cs="Times New Roman"/>
              </w:rPr>
              <w:t>YM24</w:t>
            </w:r>
          </w:p>
        </w:tc>
        <w:tc>
          <w:tcPr>
            <w:tcW w:w="2525" w:type="dxa"/>
            <w:vAlign w:val="center"/>
          </w:tcPr>
          <w:p w14:paraId="24A21725">
            <w:pPr>
              <w:jc w:val="center"/>
              <w:rPr>
                <w:rFonts w:ascii="Times New Roman" w:hAnsi="Times New Roman" w:cs="Times New Roman"/>
              </w:rPr>
            </w:pPr>
            <w:r>
              <w:rPr>
                <w:rFonts w:ascii="Times New Roman" w:hAnsi="Times New Roman" w:cs="Times New Roman"/>
              </w:rPr>
              <w:t>73.61±0.01</w:t>
            </w:r>
          </w:p>
        </w:tc>
        <w:tc>
          <w:tcPr>
            <w:tcW w:w="2051" w:type="dxa"/>
            <w:vAlign w:val="center"/>
          </w:tcPr>
          <w:p w14:paraId="795EAFA5">
            <w:pPr>
              <w:jc w:val="center"/>
              <w:rPr>
                <w:rFonts w:ascii="Times New Roman" w:hAnsi="Times New Roman" w:cs="Times New Roman"/>
              </w:rPr>
            </w:pPr>
            <w:r>
              <w:rPr>
                <w:rFonts w:ascii="Times New Roman" w:hAnsi="Times New Roman" w:cs="Times New Roman"/>
              </w:rPr>
              <w:t>68.97±0.62</w:t>
            </w:r>
          </w:p>
        </w:tc>
        <w:tc>
          <w:tcPr>
            <w:tcW w:w="2318" w:type="dxa"/>
            <w:vAlign w:val="center"/>
          </w:tcPr>
          <w:p w14:paraId="4085388A">
            <w:pPr>
              <w:spacing w:line="360" w:lineRule="auto"/>
              <w:jc w:val="center"/>
              <w:rPr>
                <w:rFonts w:ascii="Times New Roman" w:hAnsi="Times New Roman" w:cs="Times New Roman"/>
              </w:rPr>
            </w:pPr>
            <w:r>
              <w:rPr>
                <w:rFonts w:ascii="Times New Roman" w:hAnsi="Times New Roman" w:cs="Times New Roman"/>
              </w:rPr>
              <w:t>67.63±0.21</w:t>
            </w:r>
          </w:p>
        </w:tc>
      </w:tr>
      <w:tr w14:paraId="20743676">
        <w:tblPrEx>
          <w:tblCellMar>
            <w:top w:w="0" w:type="dxa"/>
            <w:left w:w="108" w:type="dxa"/>
            <w:bottom w:w="0" w:type="dxa"/>
            <w:right w:w="108" w:type="dxa"/>
          </w:tblCellMar>
        </w:tblPrEx>
        <w:trPr>
          <w:trHeight w:val="397" w:hRule="exact"/>
          <w:tblHeader/>
        </w:trPr>
        <w:tc>
          <w:tcPr>
            <w:tcW w:w="1791" w:type="dxa"/>
            <w:vAlign w:val="center"/>
          </w:tcPr>
          <w:p w14:paraId="3A69AFFE">
            <w:pPr>
              <w:jc w:val="center"/>
              <w:rPr>
                <w:rFonts w:ascii="Times New Roman" w:hAnsi="Times New Roman" w:cs="Times New Roman"/>
              </w:rPr>
            </w:pPr>
            <w:r>
              <w:rPr>
                <w:rFonts w:ascii="Times New Roman" w:hAnsi="Times New Roman" w:cs="Times New Roman"/>
              </w:rPr>
              <w:t>YM25</w:t>
            </w:r>
          </w:p>
        </w:tc>
        <w:tc>
          <w:tcPr>
            <w:tcW w:w="2525" w:type="dxa"/>
            <w:vAlign w:val="center"/>
          </w:tcPr>
          <w:p w14:paraId="03917D91">
            <w:pPr>
              <w:jc w:val="center"/>
              <w:rPr>
                <w:rFonts w:ascii="Times New Roman" w:hAnsi="Times New Roman" w:cs="Times New Roman"/>
              </w:rPr>
            </w:pPr>
            <w:r>
              <w:rPr>
                <w:rFonts w:ascii="Times New Roman" w:hAnsi="Times New Roman" w:cs="Times New Roman"/>
              </w:rPr>
              <w:t>75.00±0.11</w:t>
            </w:r>
          </w:p>
        </w:tc>
        <w:tc>
          <w:tcPr>
            <w:tcW w:w="2051" w:type="dxa"/>
            <w:vAlign w:val="center"/>
          </w:tcPr>
          <w:p w14:paraId="7F8AD26D">
            <w:pPr>
              <w:jc w:val="center"/>
              <w:rPr>
                <w:rFonts w:ascii="Times New Roman" w:hAnsi="Times New Roman" w:cs="Times New Roman"/>
              </w:rPr>
            </w:pPr>
            <w:r>
              <w:rPr>
                <w:rFonts w:ascii="Times New Roman" w:hAnsi="Times New Roman" w:cs="Times New Roman"/>
              </w:rPr>
              <w:t>71.09±0.06</w:t>
            </w:r>
          </w:p>
        </w:tc>
        <w:tc>
          <w:tcPr>
            <w:tcW w:w="2318" w:type="dxa"/>
            <w:vAlign w:val="center"/>
          </w:tcPr>
          <w:p w14:paraId="0BB7ACFE">
            <w:pPr>
              <w:spacing w:line="360" w:lineRule="auto"/>
              <w:jc w:val="center"/>
              <w:rPr>
                <w:rFonts w:ascii="Times New Roman" w:hAnsi="Times New Roman" w:cs="Times New Roman"/>
              </w:rPr>
            </w:pPr>
            <w:r>
              <w:rPr>
                <w:rFonts w:ascii="Times New Roman" w:hAnsi="Times New Roman" w:cs="Times New Roman"/>
              </w:rPr>
              <w:t>72.28±0.41</w:t>
            </w:r>
          </w:p>
        </w:tc>
      </w:tr>
      <w:tr w14:paraId="4AC3915B">
        <w:tblPrEx>
          <w:tblCellMar>
            <w:top w:w="0" w:type="dxa"/>
            <w:left w:w="108" w:type="dxa"/>
            <w:bottom w:w="0" w:type="dxa"/>
            <w:right w:w="108" w:type="dxa"/>
          </w:tblCellMar>
        </w:tblPrEx>
        <w:trPr>
          <w:trHeight w:val="397" w:hRule="exact"/>
          <w:tblHeader/>
        </w:trPr>
        <w:tc>
          <w:tcPr>
            <w:tcW w:w="1791" w:type="dxa"/>
            <w:vAlign w:val="center"/>
          </w:tcPr>
          <w:p w14:paraId="255A0A76">
            <w:pPr>
              <w:jc w:val="center"/>
              <w:rPr>
                <w:rFonts w:ascii="Times New Roman" w:hAnsi="Times New Roman" w:cs="Times New Roman"/>
              </w:rPr>
            </w:pPr>
            <w:r>
              <w:rPr>
                <w:rFonts w:ascii="Times New Roman" w:hAnsi="Times New Roman" w:cs="Times New Roman"/>
              </w:rPr>
              <w:t>YM26</w:t>
            </w:r>
          </w:p>
        </w:tc>
        <w:tc>
          <w:tcPr>
            <w:tcW w:w="2525" w:type="dxa"/>
            <w:vAlign w:val="center"/>
          </w:tcPr>
          <w:p w14:paraId="0A50102F">
            <w:pPr>
              <w:jc w:val="center"/>
              <w:rPr>
                <w:rFonts w:ascii="Times New Roman" w:hAnsi="Times New Roman" w:cs="Times New Roman"/>
              </w:rPr>
            </w:pPr>
            <w:r>
              <w:rPr>
                <w:rFonts w:ascii="Times New Roman" w:hAnsi="Times New Roman" w:cs="Times New Roman"/>
              </w:rPr>
              <w:t>72.46±0.24</w:t>
            </w:r>
          </w:p>
        </w:tc>
        <w:tc>
          <w:tcPr>
            <w:tcW w:w="2051" w:type="dxa"/>
            <w:vAlign w:val="center"/>
          </w:tcPr>
          <w:p w14:paraId="3C89A135">
            <w:pPr>
              <w:jc w:val="center"/>
              <w:rPr>
                <w:rFonts w:ascii="Times New Roman" w:hAnsi="Times New Roman" w:cs="Times New Roman"/>
              </w:rPr>
            </w:pPr>
            <w:r>
              <w:rPr>
                <w:rFonts w:ascii="Times New Roman" w:hAnsi="Times New Roman" w:cs="Times New Roman"/>
              </w:rPr>
              <w:t>66.07±0.24</w:t>
            </w:r>
          </w:p>
        </w:tc>
        <w:tc>
          <w:tcPr>
            <w:tcW w:w="2318" w:type="dxa"/>
            <w:vAlign w:val="center"/>
          </w:tcPr>
          <w:p w14:paraId="06FA48B2">
            <w:pPr>
              <w:spacing w:line="360" w:lineRule="auto"/>
              <w:jc w:val="center"/>
              <w:rPr>
                <w:rFonts w:ascii="Times New Roman" w:hAnsi="Times New Roman" w:cs="Times New Roman"/>
              </w:rPr>
            </w:pPr>
            <w:r>
              <w:rPr>
                <w:rFonts w:ascii="Times New Roman" w:hAnsi="Times New Roman" w:cs="Times New Roman"/>
              </w:rPr>
              <w:t>66.05±0.62</w:t>
            </w:r>
          </w:p>
        </w:tc>
      </w:tr>
      <w:tr w14:paraId="21F593D4">
        <w:tblPrEx>
          <w:tblCellMar>
            <w:top w:w="0" w:type="dxa"/>
            <w:left w:w="108" w:type="dxa"/>
            <w:bottom w:w="0" w:type="dxa"/>
            <w:right w:w="108" w:type="dxa"/>
          </w:tblCellMar>
        </w:tblPrEx>
        <w:trPr>
          <w:trHeight w:val="397" w:hRule="exact"/>
          <w:tblHeader/>
        </w:trPr>
        <w:tc>
          <w:tcPr>
            <w:tcW w:w="1791" w:type="dxa"/>
            <w:vAlign w:val="center"/>
          </w:tcPr>
          <w:p w14:paraId="4BAC2ED8">
            <w:pPr>
              <w:jc w:val="center"/>
              <w:rPr>
                <w:rFonts w:ascii="Times New Roman" w:hAnsi="Times New Roman" w:cs="Times New Roman"/>
              </w:rPr>
            </w:pPr>
            <w:r>
              <w:rPr>
                <w:rFonts w:ascii="Times New Roman" w:hAnsi="Times New Roman" w:cs="Times New Roman"/>
              </w:rPr>
              <w:t>YM27</w:t>
            </w:r>
          </w:p>
        </w:tc>
        <w:tc>
          <w:tcPr>
            <w:tcW w:w="2525" w:type="dxa"/>
            <w:vAlign w:val="center"/>
          </w:tcPr>
          <w:p w14:paraId="278DE5B1">
            <w:pPr>
              <w:jc w:val="center"/>
              <w:rPr>
                <w:rFonts w:ascii="Times New Roman" w:hAnsi="Times New Roman" w:cs="Times New Roman"/>
              </w:rPr>
            </w:pPr>
            <w:r>
              <w:rPr>
                <w:rFonts w:ascii="Times New Roman" w:hAnsi="Times New Roman" w:cs="Times New Roman"/>
              </w:rPr>
              <w:t>72.23±0.02</w:t>
            </w:r>
          </w:p>
        </w:tc>
        <w:tc>
          <w:tcPr>
            <w:tcW w:w="2051" w:type="dxa"/>
            <w:vAlign w:val="center"/>
          </w:tcPr>
          <w:p w14:paraId="09B18D3F">
            <w:pPr>
              <w:jc w:val="center"/>
              <w:rPr>
                <w:rFonts w:ascii="Times New Roman" w:hAnsi="Times New Roman" w:cs="Times New Roman"/>
              </w:rPr>
            </w:pPr>
            <w:r>
              <w:rPr>
                <w:rFonts w:ascii="Times New Roman" w:hAnsi="Times New Roman" w:cs="Times New Roman"/>
              </w:rPr>
              <w:t>67.12±0.40</w:t>
            </w:r>
          </w:p>
        </w:tc>
        <w:tc>
          <w:tcPr>
            <w:tcW w:w="2318" w:type="dxa"/>
            <w:vAlign w:val="center"/>
          </w:tcPr>
          <w:p w14:paraId="7B846A79">
            <w:pPr>
              <w:spacing w:line="360" w:lineRule="auto"/>
              <w:jc w:val="center"/>
              <w:rPr>
                <w:rFonts w:ascii="Times New Roman" w:hAnsi="Times New Roman" w:cs="Times New Roman"/>
              </w:rPr>
            </w:pPr>
            <w:r>
              <w:rPr>
                <w:rFonts w:ascii="Times New Roman" w:hAnsi="Times New Roman" w:cs="Times New Roman"/>
              </w:rPr>
              <w:t>66.09±0.15</w:t>
            </w:r>
          </w:p>
        </w:tc>
      </w:tr>
      <w:tr w14:paraId="0EBCE8BB">
        <w:tblPrEx>
          <w:tblCellMar>
            <w:top w:w="0" w:type="dxa"/>
            <w:left w:w="108" w:type="dxa"/>
            <w:bottom w:w="0" w:type="dxa"/>
            <w:right w:w="108" w:type="dxa"/>
          </w:tblCellMar>
        </w:tblPrEx>
        <w:trPr>
          <w:trHeight w:val="397" w:hRule="exact"/>
          <w:tblHeader/>
        </w:trPr>
        <w:tc>
          <w:tcPr>
            <w:tcW w:w="1791" w:type="dxa"/>
            <w:vAlign w:val="center"/>
          </w:tcPr>
          <w:p w14:paraId="6534E6D5">
            <w:pPr>
              <w:jc w:val="center"/>
              <w:rPr>
                <w:rFonts w:ascii="Times New Roman" w:hAnsi="Times New Roman" w:cs="Times New Roman"/>
              </w:rPr>
            </w:pPr>
            <w:r>
              <w:rPr>
                <w:rFonts w:hint="eastAsia" w:ascii="宋体" w:hAnsi="宋体" w:eastAsia="宋体" w:cs="宋体"/>
              </w:rPr>
              <w:t>标准差</w:t>
            </w:r>
          </w:p>
        </w:tc>
        <w:tc>
          <w:tcPr>
            <w:tcW w:w="2525" w:type="dxa"/>
            <w:vAlign w:val="center"/>
          </w:tcPr>
          <w:p w14:paraId="398869C6">
            <w:pPr>
              <w:jc w:val="center"/>
              <w:rPr>
                <w:rFonts w:ascii="Times New Roman" w:hAnsi="Times New Roman" w:cs="Times New Roman"/>
              </w:rPr>
            </w:pPr>
            <w:r>
              <w:rPr>
                <w:rFonts w:ascii="Times New Roman" w:hAnsi="Times New Roman" w:cs="Times New Roman"/>
              </w:rPr>
              <w:t>0.14</w:t>
            </w:r>
          </w:p>
        </w:tc>
        <w:tc>
          <w:tcPr>
            <w:tcW w:w="2051" w:type="dxa"/>
            <w:vAlign w:val="center"/>
          </w:tcPr>
          <w:p w14:paraId="414E9617">
            <w:pPr>
              <w:jc w:val="center"/>
              <w:rPr>
                <w:rFonts w:ascii="Times New Roman" w:hAnsi="Times New Roman" w:cs="Times New Roman"/>
              </w:rPr>
            </w:pPr>
            <w:r>
              <w:rPr>
                <w:rFonts w:ascii="Times New Roman" w:hAnsi="Times New Roman" w:cs="Times New Roman"/>
              </w:rPr>
              <w:t>0.34</w:t>
            </w:r>
          </w:p>
        </w:tc>
        <w:tc>
          <w:tcPr>
            <w:tcW w:w="2318" w:type="dxa"/>
            <w:vAlign w:val="center"/>
          </w:tcPr>
          <w:p w14:paraId="7EE0BCEE">
            <w:pPr>
              <w:jc w:val="center"/>
              <w:rPr>
                <w:rFonts w:ascii="Times New Roman" w:hAnsi="Times New Roman" w:cs="Times New Roman"/>
              </w:rPr>
            </w:pPr>
            <w:r>
              <w:rPr>
                <w:rFonts w:ascii="Times New Roman" w:hAnsi="Times New Roman" w:cs="Times New Roman"/>
              </w:rPr>
              <w:t>0.27</w:t>
            </w:r>
          </w:p>
        </w:tc>
      </w:tr>
      <w:tr w14:paraId="07794A55">
        <w:tblPrEx>
          <w:tblCellMar>
            <w:top w:w="0" w:type="dxa"/>
            <w:left w:w="108" w:type="dxa"/>
            <w:bottom w:w="0" w:type="dxa"/>
            <w:right w:w="108" w:type="dxa"/>
          </w:tblCellMar>
        </w:tblPrEx>
        <w:trPr>
          <w:trHeight w:val="397" w:hRule="exact"/>
          <w:tblHeader/>
        </w:trPr>
        <w:tc>
          <w:tcPr>
            <w:tcW w:w="1791" w:type="dxa"/>
            <w:tcBorders>
              <w:bottom w:val="single" w:color="auto" w:sz="4" w:space="0"/>
            </w:tcBorders>
            <w:vAlign w:val="center"/>
          </w:tcPr>
          <w:p w14:paraId="00390190">
            <w:pPr>
              <w:ind w:firstLine="210" w:firstLineChars="100"/>
              <w:jc w:val="center"/>
              <w:outlineLvl w:val="2"/>
              <w:rPr>
                <w:rFonts w:ascii="Times New Roman" w:hAnsi="Times New Roman" w:cs="Times New Roman"/>
              </w:rPr>
            </w:pPr>
            <w:r>
              <w:rPr>
                <w:rFonts w:ascii="Times New Roman" w:hAnsi="Times New Roman" w:cs="Times New Roman"/>
              </w:rPr>
              <w:t>LSD</w:t>
            </w:r>
            <w:r>
              <w:rPr>
                <w:rFonts w:ascii="Times New Roman" w:hAnsi="Times New Roman" w:cs="Times New Roman"/>
                <w:vertAlign w:val="subscript"/>
              </w:rPr>
              <w:t>0.05</w:t>
            </w:r>
          </w:p>
        </w:tc>
        <w:tc>
          <w:tcPr>
            <w:tcW w:w="2525" w:type="dxa"/>
            <w:tcBorders>
              <w:bottom w:val="single" w:color="auto" w:sz="4" w:space="0"/>
            </w:tcBorders>
            <w:vAlign w:val="center"/>
          </w:tcPr>
          <w:p w14:paraId="25FDAA8F">
            <w:pPr>
              <w:jc w:val="center"/>
              <w:outlineLvl w:val="2"/>
              <w:rPr>
                <w:rFonts w:ascii="Times New Roman" w:hAnsi="Times New Roman" w:cs="Times New Roman"/>
              </w:rPr>
            </w:pPr>
            <w:r>
              <w:rPr>
                <w:rFonts w:ascii="Times New Roman" w:hAnsi="Times New Roman" w:cs="Times New Roman"/>
              </w:rPr>
              <w:t>0.38</w:t>
            </w:r>
          </w:p>
        </w:tc>
        <w:tc>
          <w:tcPr>
            <w:tcW w:w="2051" w:type="dxa"/>
            <w:tcBorders>
              <w:bottom w:val="single" w:color="auto" w:sz="4" w:space="0"/>
            </w:tcBorders>
            <w:vAlign w:val="center"/>
          </w:tcPr>
          <w:p w14:paraId="0F85011A">
            <w:pPr>
              <w:jc w:val="center"/>
              <w:outlineLvl w:val="2"/>
              <w:rPr>
                <w:rFonts w:ascii="Times New Roman" w:hAnsi="Times New Roman" w:cs="Times New Roman"/>
              </w:rPr>
            </w:pPr>
            <w:r>
              <w:rPr>
                <w:rFonts w:ascii="Times New Roman" w:hAnsi="Times New Roman" w:cs="Times New Roman"/>
              </w:rPr>
              <w:t>0.91</w:t>
            </w:r>
          </w:p>
        </w:tc>
        <w:tc>
          <w:tcPr>
            <w:tcW w:w="2318" w:type="dxa"/>
            <w:tcBorders>
              <w:bottom w:val="single" w:color="auto" w:sz="4" w:space="0"/>
            </w:tcBorders>
            <w:vAlign w:val="center"/>
          </w:tcPr>
          <w:p w14:paraId="7C87F970">
            <w:pPr>
              <w:jc w:val="center"/>
              <w:outlineLvl w:val="2"/>
              <w:rPr>
                <w:rFonts w:ascii="Times New Roman" w:hAnsi="Times New Roman" w:cs="Times New Roman"/>
              </w:rPr>
            </w:pPr>
            <w:r>
              <w:rPr>
                <w:rFonts w:ascii="Times New Roman" w:hAnsi="Times New Roman" w:cs="Times New Roman"/>
              </w:rPr>
              <w:t>0.77</w:t>
            </w:r>
          </w:p>
        </w:tc>
      </w:tr>
      <w:bookmarkEnd w:id="3"/>
      <w:bookmarkEnd w:id="4"/>
    </w:tbl>
    <w:p w14:paraId="5325501B">
      <w:pPr>
        <w:spacing w:line="360" w:lineRule="auto"/>
        <w:rPr>
          <w:rFonts w:ascii="Times New Roman" w:hAnsi="Times New Roman" w:eastAsia="黑体" w:cs="Times New Roman"/>
          <w:bCs/>
          <w:lang w:eastAsia="zh-CN"/>
        </w:rPr>
      </w:pPr>
      <w:r>
        <w:rPr>
          <w:rFonts w:ascii="Times New Roman" w:hAnsi="Times New Roman" w:eastAsia="楷体" w:cs="Times New Roman"/>
          <w:lang w:eastAsia="zh-CN"/>
        </w:rPr>
        <w:t>注：表中数据为2次平行试验结果的平均值</w:t>
      </w:r>
      <w:r>
        <w:rPr>
          <w:rFonts w:ascii="Times New Roman" w:hAnsi="Times New Roman" w:cs="Times New Roman"/>
          <w:lang w:eastAsia="zh-CN"/>
        </w:rPr>
        <w:t>±</w:t>
      </w:r>
      <w:r>
        <w:rPr>
          <w:rFonts w:ascii="Times New Roman" w:hAnsi="Times New Roman" w:eastAsia="楷体" w:cs="Times New Roman"/>
          <w:lang w:eastAsia="zh-CN"/>
        </w:rPr>
        <w:t>标准差。在第一行上标部分带有不同大写字母的方法之间具有显著性差异（p&lt;0.05）。</w:t>
      </w:r>
    </w:p>
    <w:p w14:paraId="597F029C">
      <w:pPr>
        <w:pStyle w:val="9"/>
        <w:spacing w:line="360" w:lineRule="auto"/>
        <w:ind w:firstLine="420"/>
        <w:rPr>
          <w:rFonts w:ascii="Times New Roman" w:hAnsi="Times New Roman" w:cs="Times New Roman"/>
          <w:sz w:val="24"/>
          <w:szCs w:val="24"/>
        </w:rPr>
      </w:pPr>
      <w:r>
        <w:rPr>
          <w:rFonts w:ascii="Times New Roman" w:hAnsi="Times New Roman" w:cs="Times New Roman"/>
          <w:sz w:val="24"/>
          <w:szCs w:val="24"/>
        </w:rPr>
        <w:t>由表1可以看出，国标GB 5006-85法和双酶法的淀粉含量测定结果具有较好的重复性，但均低于国标GB 5006-85法。此外，三种方法的测定结果之间均存在显著性差异（p&lt;0.05）。</w:t>
      </w:r>
    </w:p>
    <w:p w14:paraId="7893FC9A">
      <w:pPr>
        <w:pStyle w:val="9"/>
        <w:spacing w:line="360" w:lineRule="auto"/>
        <w:ind w:firstLine="420"/>
        <w:rPr>
          <w:rFonts w:ascii="Times New Roman" w:hAnsi="Times New Roman" w:cs="Times New Roman"/>
          <w:sz w:val="24"/>
          <w:szCs w:val="24"/>
        </w:rPr>
      </w:pPr>
      <w:r>
        <w:rPr>
          <w:rFonts w:ascii="Times New Roman" w:hAnsi="Times New Roman" w:cs="Times New Roman"/>
          <w:sz w:val="24"/>
          <w:szCs w:val="24"/>
        </w:rPr>
        <w:t>国标GB 5006-85法测定的结果偏高的原因是处理的样品中可能含有其他干扰物质，并和氯化钙形成旋光性物质，致使测定结果偏高，这表明该法的选择性不高，很容易受到其他物质的干扰，并不适合于样品淀粉含量的准确测定。但该法精密度最高，测定过程快速，适合大批量测定对准确度要求不高的样品。此外，由于本研究所选取的玉米粉样品的脂肪含量均小于5%，而可溶性糖含量也比较低（低于3%），按照国标GB 5006-85附录的建议，本研究并没有进行脱糖脱脂处理，这也可能影响测定结果。李霞等采用旋光法测定玉米淀粉含量时发现，不脱糖的结果比脱糖的结果一般偏高1%-4%，有的甚至更高。</w:t>
      </w:r>
    </w:p>
    <w:p w14:paraId="604E894B">
      <w:pPr>
        <w:pStyle w:val="9"/>
        <w:spacing w:line="360" w:lineRule="auto"/>
        <w:ind w:firstLine="420"/>
        <w:rPr>
          <w:rFonts w:ascii="Times New Roman" w:hAnsi="Times New Roman" w:eastAsia="宋体" w:cs="Times New Roman"/>
          <w:sz w:val="24"/>
          <w:szCs w:val="24"/>
        </w:rPr>
      </w:pPr>
      <w:r>
        <w:rPr>
          <w:rFonts w:ascii="Times New Roman" w:hAnsi="Times New Roman" w:eastAsia="宋体" w:cs="Times New Roman"/>
          <w:sz w:val="24"/>
          <w:szCs w:val="24"/>
        </w:rPr>
        <w:t>本研究所使用的耐高温α-淀粉酶和糖化酶均是工业化生产的商品酶制剂。测定总淀粉含量时，样品的质量为50 mg（干基），α-淀粉酶和糖化酶的使用量分别为1.5 KNU和8.625 AGU，调浆时水的使用量为1.5 mL。</w:t>
      </w:r>
    </w:p>
    <w:p w14:paraId="3FF5EB12">
      <w:pPr>
        <w:pStyle w:val="9"/>
        <w:spacing w:line="360" w:lineRule="auto"/>
        <w:ind w:firstLine="420"/>
        <w:rPr>
          <w:rFonts w:ascii="Times New Roman" w:hAnsi="Times New Roman" w:cs="Times New Roman"/>
          <w:sz w:val="24"/>
          <w:szCs w:val="24"/>
        </w:rPr>
      </w:pPr>
      <w:r>
        <w:rPr>
          <w:rFonts w:ascii="Times New Roman" w:hAnsi="Times New Roman" w:cs="Times New Roman"/>
          <w:sz w:val="24"/>
          <w:szCs w:val="24"/>
        </w:rPr>
        <w:t xml:space="preserve">双酶法测定的结果与国标GB/T 5514-2008法的结果较接近，但也有部分样品的测定结果低于国标GB/T 5514-2008法。原因可能是国标GB/T 5514-2008法中采用了盐酸水解双糖为葡萄糖，其中可能会有部分纤维素、半纤维素的干扰，导致该方法测定的结果部分偏高。 </w:t>
      </w:r>
    </w:p>
    <w:p w14:paraId="5847EFCC">
      <w:pPr>
        <w:pStyle w:val="9"/>
        <w:spacing w:line="360" w:lineRule="auto"/>
        <w:ind w:firstLine="420"/>
        <w:jc w:val="center"/>
        <w:rPr>
          <w:rFonts w:ascii="Times New Roman" w:hAnsi="Times New Roman" w:cs="Times New Roman"/>
          <w:sz w:val="24"/>
          <w:szCs w:val="24"/>
        </w:rPr>
      </w:pPr>
      <w:r>
        <w:rPr>
          <w:rFonts w:ascii="Times New Roman" w:hAnsi="Times New Roman" w:cs="Times New Roman"/>
          <w:sz w:val="24"/>
          <w:szCs w:val="24"/>
        </w:rPr>
        <w:object>
          <v:shape id="_x0000_i1026" o:spt="75" type="#_x0000_t75" style="height:210pt;width:247.2pt;" o:ole="t" filled="f" o:preferrelative="t" stroked="f" coordsize="21600,21600">
            <v:path/>
            <v:fill on="f" focussize="0,0"/>
            <v:stroke on="f" joinstyle="miter"/>
            <v:imagedata r:id="rId7" cropleft="3088f" croptop="4297f" cropright="7585f" cropbottom="921f" o:title=""/>
            <o:lock v:ext="edit" aspectratio="t"/>
            <w10:wrap type="none"/>
            <w10:anchorlock/>
          </v:shape>
          <o:OLEObject Type="Embed" ProgID="Origin50.Graph" ShapeID="_x0000_i1026" DrawAspect="Content" ObjectID="_1468075726" r:id="rId6">
            <o:LockedField>false</o:LockedField>
          </o:OLEObject>
        </w:object>
      </w:r>
    </w:p>
    <w:p w14:paraId="5AC75247">
      <w:pPr>
        <w:spacing w:line="360" w:lineRule="auto"/>
        <w:ind w:firstLine="480" w:firstLineChars="200"/>
        <w:jc w:val="center"/>
        <w:rPr>
          <w:rFonts w:ascii="Times New Roman" w:hAnsi="Times New Roman" w:cs="Times New Roman"/>
          <w:bCs/>
          <w:sz w:val="24"/>
          <w:szCs w:val="24"/>
          <w:lang w:eastAsia="zh-CN"/>
        </w:rPr>
      </w:pPr>
      <w:r>
        <w:rPr>
          <w:rFonts w:hint="eastAsia" w:ascii="宋体" w:hAnsi="宋体" w:eastAsia="宋体" w:cs="宋体"/>
          <w:sz w:val="24"/>
          <w:szCs w:val="24"/>
          <w:lang w:eastAsia="zh-CN"/>
        </w:rPr>
        <w:t>图</w:t>
      </w:r>
      <w:r>
        <w:rPr>
          <w:rFonts w:ascii="Times New Roman" w:hAnsi="Times New Roman" w:cs="Times New Roman"/>
          <w:sz w:val="24"/>
          <w:szCs w:val="24"/>
          <w:lang w:eastAsia="zh-CN"/>
        </w:rPr>
        <w:t xml:space="preserve">1  </w:t>
      </w:r>
      <w:r>
        <w:rPr>
          <w:rFonts w:ascii="Times New Roman" w:hAnsi="Times New Roman" w:cs="Times New Roman"/>
          <w:bCs/>
          <w:sz w:val="24"/>
          <w:szCs w:val="24"/>
          <w:lang w:eastAsia="zh-CN"/>
        </w:rPr>
        <w:t>GB/T 5514-2008</w:t>
      </w:r>
      <w:r>
        <w:rPr>
          <w:rFonts w:hint="eastAsia" w:ascii="宋体" w:hAnsi="宋体" w:eastAsia="宋体" w:cs="宋体"/>
          <w:bCs/>
          <w:sz w:val="24"/>
          <w:szCs w:val="24"/>
          <w:lang w:eastAsia="zh-CN"/>
        </w:rPr>
        <w:t>法与</w:t>
      </w:r>
      <w:r>
        <w:rPr>
          <w:rFonts w:hint="eastAsia" w:ascii="宋体" w:hAnsi="宋体" w:eastAsia="宋体" w:cs="宋体"/>
          <w:sz w:val="24"/>
          <w:szCs w:val="24"/>
          <w:lang w:eastAsia="zh-CN"/>
        </w:rPr>
        <w:t>双酶</w:t>
      </w:r>
      <w:r>
        <w:rPr>
          <w:rFonts w:hint="eastAsia" w:ascii="宋体" w:hAnsi="宋体" w:eastAsia="宋体" w:cs="宋体"/>
          <w:bCs/>
          <w:sz w:val="24"/>
          <w:szCs w:val="24"/>
          <w:lang w:eastAsia="zh-CN"/>
        </w:rPr>
        <w:t>法淀粉含量测定结果的相关性</w:t>
      </w:r>
    </w:p>
    <w:p w14:paraId="2BAC6096">
      <w:pPr>
        <w:pStyle w:val="9"/>
        <w:spacing w:line="360" w:lineRule="auto"/>
        <w:ind w:firstLine="420"/>
        <w:rPr>
          <w:rFonts w:ascii="Times New Roman" w:hAnsi="Times New Roman" w:cs="Times New Roman"/>
          <w:sz w:val="24"/>
          <w:szCs w:val="24"/>
        </w:rPr>
      </w:pPr>
      <w:r>
        <w:rPr>
          <w:rFonts w:ascii="Times New Roman" w:hAnsi="Times New Roman" w:cs="Times New Roman"/>
          <w:sz w:val="24"/>
          <w:szCs w:val="24"/>
        </w:rPr>
        <w:t>对国标GB/T 5514-2008法，国标GB 5006-85法与双酶法的粉含量测定结果作相关性分析，结果如下图所示。</w:t>
      </w:r>
    </w:p>
    <w:p w14:paraId="0F021876">
      <w:pPr>
        <w:pStyle w:val="9"/>
        <w:spacing w:line="360" w:lineRule="auto"/>
        <w:ind w:firstLine="420"/>
        <w:rPr>
          <w:rFonts w:ascii="Times New Roman" w:hAnsi="Times New Roman" w:cs="Times New Roman"/>
          <w:sz w:val="24"/>
          <w:szCs w:val="24"/>
        </w:rPr>
      </w:pPr>
      <w:r>
        <w:rPr>
          <w:rFonts w:ascii="Times New Roman" w:hAnsi="Times New Roman" w:cs="Times New Roman"/>
          <w:sz w:val="24"/>
          <w:szCs w:val="24"/>
        </w:rPr>
        <w:t>由图1可以看出，GB/T 5514-2008法与双酶法的淀粉含量测定结果呈极显著相关（p&lt;0.01），相关系数R=0.851。</w:t>
      </w:r>
    </w:p>
    <w:p w14:paraId="5E7122A9">
      <w:pPr>
        <w:spacing w:line="360" w:lineRule="auto"/>
        <w:ind w:firstLine="480" w:firstLineChars="200"/>
        <w:jc w:val="center"/>
        <w:rPr>
          <w:rFonts w:ascii="Times New Roman" w:hAnsi="Times New Roman" w:cs="Times New Roman"/>
          <w:bCs/>
          <w:sz w:val="24"/>
          <w:szCs w:val="24"/>
        </w:rPr>
      </w:pPr>
      <w:r>
        <w:rPr>
          <w:rFonts w:ascii="Times New Roman" w:hAnsi="Times New Roman" w:cs="Times New Roman"/>
          <w:sz w:val="24"/>
          <w:szCs w:val="24"/>
        </w:rPr>
        <w:object>
          <v:shape id="_x0000_i1027" o:spt="75" type="#_x0000_t75" style="height:202.8pt;width:237pt;" o:ole="t" filled="f" o:preferrelative="t" stroked="f" coordsize="21600,21600">
            <v:path/>
            <v:fill on="f" focussize="0,0"/>
            <v:stroke on="f" joinstyle="miter"/>
            <v:imagedata r:id="rId9" cropleft="3437f" croptop="3990f" cropright="7822f" cropbottom="1228f" o:title=""/>
            <o:lock v:ext="edit" aspectratio="t"/>
            <w10:wrap type="none"/>
            <w10:anchorlock/>
          </v:shape>
          <o:OLEObject Type="Embed" ProgID="Origin50.Graph" ShapeID="_x0000_i1027" DrawAspect="Content" ObjectID="_1468075727" r:id="rId8">
            <o:LockedField>false</o:LockedField>
          </o:OLEObject>
        </w:object>
      </w:r>
    </w:p>
    <w:p w14:paraId="354B8549">
      <w:pPr>
        <w:spacing w:line="360" w:lineRule="auto"/>
        <w:ind w:firstLine="480" w:firstLineChars="200"/>
        <w:jc w:val="center"/>
        <w:rPr>
          <w:rFonts w:ascii="Times New Roman" w:hAnsi="Times New Roman" w:cs="Times New Roman"/>
          <w:bCs/>
          <w:sz w:val="24"/>
          <w:szCs w:val="24"/>
          <w:lang w:eastAsia="zh-CN"/>
        </w:rPr>
      </w:pPr>
      <w:r>
        <w:rPr>
          <w:rFonts w:hint="eastAsia" w:ascii="宋体" w:hAnsi="宋体" w:eastAsia="宋体" w:cs="宋体"/>
          <w:sz w:val="24"/>
          <w:szCs w:val="24"/>
          <w:lang w:eastAsia="zh-CN"/>
        </w:rPr>
        <w:t>图</w:t>
      </w:r>
      <w:r>
        <w:rPr>
          <w:rFonts w:ascii="Times New Roman" w:hAnsi="Times New Roman" w:cs="Times New Roman"/>
          <w:sz w:val="24"/>
          <w:szCs w:val="24"/>
          <w:lang w:eastAsia="zh-CN"/>
        </w:rPr>
        <w:t xml:space="preserve">2  </w:t>
      </w:r>
      <w:r>
        <w:rPr>
          <w:rFonts w:ascii="Times New Roman" w:hAnsi="Times New Roman" w:cs="Times New Roman"/>
          <w:bCs/>
          <w:sz w:val="24"/>
          <w:szCs w:val="24"/>
          <w:lang w:eastAsia="zh-CN"/>
        </w:rPr>
        <w:t>GB 5006-85</w:t>
      </w:r>
      <w:r>
        <w:rPr>
          <w:rFonts w:hint="eastAsia" w:ascii="宋体" w:hAnsi="宋体" w:eastAsia="宋体" w:cs="宋体"/>
          <w:bCs/>
          <w:sz w:val="24"/>
          <w:szCs w:val="24"/>
          <w:lang w:eastAsia="zh-CN"/>
        </w:rPr>
        <w:t>法与</w:t>
      </w:r>
      <w:r>
        <w:rPr>
          <w:rFonts w:hint="eastAsia" w:ascii="宋体" w:hAnsi="宋体" w:eastAsia="宋体" w:cs="宋体"/>
          <w:sz w:val="24"/>
          <w:szCs w:val="24"/>
          <w:lang w:eastAsia="zh-CN"/>
        </w:rPr>
        <w:t>双酶</w:t>
      </w:r>
      <w:r>
        <w:rPr>
          <w:rFonts w:hint="eastAsia" w:ascii="宋体" w:hAnsi="宋体" w:eastAsia="宋体" w:cs="宋体"/>
          <w:bCs/>
          <w:sz w:val="24"/>
          <w:szCs w:val="24"/>
          <w:lang w:eastAsia="zh-CN"/>
        </w:rPr>
        <w:t>法淀粉含量测定结果的相关性</w:t>
      </w:r>
    </w:p>
    <w:p w14:paraId="2D451DD5">
      <w:pPr>
        <w:pStyle w:val="9"/>
        <w:spacing w:line="360" w:lineRule="auto"/>
        <w:ind w:firstLine="420"/>
        <w:rPr>
          <w:rFonts w:ascii="Times New Roman" w:hAnsi="Times New Roman" w:cs="Times New Roman"/>
          <w:sz w:val="24"/>
          <w:szCs w:val="24"/>
        </w:rPr>
      </w:pPr>
      <w:r>
        <w:rPr>
          <w:rFonts w:ascii="Times New Roman" w:hAnsi="Times New Roman" w:cs="Times New Roman"/>
          <w:sz w:val="24"/>
          <w:szCs w:val="24"/>
        </w:rPr>
        <w:t>由图2可以看出，GB 5006-85法与双酶法的淀粉含量测定结果呈极显著相关（p&lt;0.01），相关系数R=0.862。</w:t>
      </w:r>
    </w:p>
    <w:p w14:paraId="4F9645D3">
      <w:pPr>
        <w:pStyle w:val="9"/>
        <w:spacing w:line="360" w:lineRule="auto"/>
        <w:ind w:firstLine="420"/>
        <w:rPr>
          <w:rFonts w:ascii="Times New Roman" w:hAnsi="Times New Roman" w:cs="Times New Roman"/>
          <w:sz w:val="24"/>
          <w:szCs w:val="24"/>
        </w:rPr>
      </w:pPr>
      <w:r>
        <w:rPr>
          <w:rFonts w:ascii="Times New Roman" w:hAnsi="Times New Roman" w:cs="Times New Roman"/>
          <w:sz w:val="24"/>
          <w:szCs w:val="24"/>
        </w:rPr>
        <w:t>三种标准方法的淀粉测定结果呈极显著相关，然而，相关系数并不是很高。原因是三种方法的测定原理是完全不同的，测定过程中的影响因子也各不相同，因此受到其它相关因素的干扰程度也是不一样的。</w:t>
      </w:r>
    </w:p>
    <w:p w14:paraId="53019A80">
      <w:pPr>
        <w:pStyle w:val="9"/>
        <w:spacing w:line="360" w:lineRule="auto"/>
        <w:ind w:firstLine="420"/>
        <w:rPr>
          <w:rFonts w:ascii="Times New Roman" w:hAnsi="Times New Roman" w:cs="Times New Roman"/>
          <w:sz w:val="24"/>
          <w:szCs w:val="24"/>
        </w:rPr>
      </w:pPr>
      <w:r>
        <w:rPr>
          <w:rFonts w:ascii="Times New Roman" w:hAnsi="Times New Roman" w:cs="Times New Roman"/>
          <w:sz w:val="24"/>
          <w:szCs w:val="24"/>
        </w:rPr>
        <w:t xml:space="preserve">在GB/T 5514-2008法中，用乙醚和乙醇除去了脂肪和可溶性还原糖，避免了脂肪和可溶性还原糖的干扰。而玉米籽粒中的游离糖含量（干基）在2.6%左右，纤维含量（干基）在2.8%左右。但在麦芽糖水解为葡萄糖的过程中，该法选择了浓度较高的盐酸水解样液，这就可能使样品中的部分纤维素、半纤维素和戊聚糖等水解为葡萄糖，两大因素均不同的程度的干扰了测定结果。此外，后续的滴定过程要求在沸腾状态下进行，以防止空气中氧的干扰，操作条件要求更加苛刻，干扰因素也极大地增加。此外，滴定过程中反应液的酸碱度、锥形瓶规格、加热温度、滴定速度以及滴定终点的控制都会不同程度的影响测定结果。 </w:t>
      </w:r>
    </w:p>
    <w:p w14:paraId="7F90FB16">
      <w:pPr>
        <w:pStyle w:val="9"/>
        <w:spacing w:line="360" w:lineRule="auto"/>
        <w:ind w:firstLine="420"/>
        <w:rPr>
          <w:rFonts w:ascii="Times New Roman" w:hAnsi="Times New Roman" w:cs="Times New Roman"/>
          <w:sz w:val="24"/>
          <w:szCs w:val="24"/>
        </w:rPr>
      </w:pPr>
      <w:r>
        <w:rPr>
          <w:rFonts w:ascii="Times New Roman" w:hAnsi="Times New Roman" w:cs="Times New Roman"/>
          <w:sz w:val="24"/>
          <w:szCs w:val="24"/>
        </w:rPr>
        <w:t>在GB 5006-85法中，不要求除去脂肪和可溶性糖，但其测定原理本身对于待测物质并没有较高的选择性，极容易受到其它物质的干扰，影响测定结果。样品中少量的游离糖多数含有不对称碳原子，因而也具有旋光性，致使测定结果偏高。此外，在整个实验过程中，淀粉的水解时间、冷却方式以及旋光液温度必须严格控制，才能保证测定结果的准确。</w:t>
      </w:r>
    </w:p>
    <w:p w14:paraId="77FD6BFB">
      <w:pPr>
        <w:pStyle w:val="9"/>
        <w:spacing w:line="360" w:lineRule="auto"/>
        <w:ind w:firstLine="420"/>
        <w:rPr>
          <w:rFonts w:ascii="Times New Roman" w:hAnsi="Times New Roman" w:cs="Times New Roman"/>
          <w:sz w:val="24"/>
          <w:szCs w:val="24"/>
        </w:rPr>
      </w:pPr>
      <w:r>
        <w:rPr>
          <w:rFonts w:ascii="Times New Roman" w:hAnsi="Times New Roman" w:cs="Times New Roman"/>
          <w:sz w:val="24"/>
          <w:szCs w:val="24"/>
        </w:rPr>
        <w:t>在双酶法中，由于采用了耐高温α-淀粉酶和糖化酶，这就保证了该法具有高效的专一性和选择性，最后进行显色反应，在510 nm下比色测定。实验开始前，必须准确配制所需的缓冲液并严格稀释耐高温α-淀粉酶，以保证酶的高效作用。</w:t>
      </w:r>
    </w:p>
    <w:p w14:paraId="50247917">
      <w:pPr>
        <w:pStyle w:val="9"/>
        <w:spacing w:line="360" w:lineRule="auto"/>
        <w:ind w:firstLine="487" w:firstLineChars="202"/>
        <w:rPr>
          <w:rFonts w:ascii="Times New Roman" w:hAnsi="Times New Roman" w:cs="Times New Roman"/>
          <w:b/>
          <w:bCs/>
          <w:sz w:val="24"/>
          <w:szCs w:val="24"/>
        </w:rPr>
      </w:pPr>
      <w:r>
        <w:rPr>
          <w:rFonts w:ascii="Times New Roman" w:hAnsi="Times New Roman" w:cs="Times New Roman"/>
          <w:b/>
          <w:bCs/>
          <w:sz w:val="24"/>
          <w:szCs w:val="24"/>
        </w:rPr>
        <w:t>2、甘薯淀粉含量的测定:</w:t>
      </w:r>
    </w:p>
    <w:p w14:paraId="22463967">
      <w:pPr>
        <w:pStyle w:val="9"/>
        <w:spacing w:line="360" w:lineRule="auto"/>
        <w:ind w:firstLine="420"/>
        <w:rPr>
          <w:rFonts w:ascii="Times New Roman" w:hAnsi="Times New Roman" w:cs="Times New Roman"/>
          <w:sz w:val="24"/>
          <w:szCs w:val="24"/>
        </w:rPr>
      </w:pPr>
      <w:r>
        <w:rPr>
          <w:rFonts w:ascii="Times New Roman" w:hAnsi="Times New Roman" w:cs="Times New Roman"/>
          <w:sz w:val="24"/>
          <w:szCs w:val="24"/>
        </w:rPr>
        <w:t>为了检验双酶法（新方法）的测定效果，本试验采用Megazyme试剂盒法以及改进的双酶法对29个甘薯粉样品的淀粉含量进行了测定，并对测定结果进行了方差及线性回归分析。</w:t>
      </w:r>
    </w:p>
    <w:p w14:paraId="7B14FA48">
      <w:pPr>
        <w:pStyle w:val="9"/>
        <w:spacing w:line="360" w:lineRule="auto"/>
        <w:ind w:firstLine="420"/>
        <w:rPr>
          <w:rFonts w:ascii="Times New Roman" w:hAnsi="Times New Roman" w:cs="Times New Roman"/>
          <w:sz w:val="24"/>
          <w:szCs w:val="24"/>
        </w:rPr>
      </w:pPr>
      <w:r>
        <w:rPr>
          <w:rFonts w:ascii="Times New Roman" w:hAnsi="Times New Roman" w:cs="Times New Roman"/>
          <w:sz w:val="24"/>
          <w:szCs w:val="24"/>
        </w:rPr>
        <w:t>用诺维信商品酶制剂Liquozyme SC DS 和Spirizyme Fuel分别替代Megazyme试剂盒中相应的液化酶和糖化酶水解淀粉，开发出一种测定淀粉含量的新方法，主要技术参数为：原料按照标准AACC 76.13中的方法E脱糖后，每支试管中液化酶和糖化酶的添加量均为20 µL（测试样品的重量 100 mg 左右），液化时加入3 mL NaAc；液化时间和糖化时间分别为20 min和30 min；采用钙离子色谱方法测定淀粉水解液中的葡萄糖含量从而计算样品中的淀粉含量。</w:t>
      </w:r>
    </w:p>
    <w:p w14:paraId="6ED2A280">
      <w:pPr>
        <w:spacing w:line="360" w:lineRule="auto"/>
        <w:ind w:firstLine="420" w:firstLineChars="200"/>
        <w:jc w:val="center"/>
        <w:rPr>
          <w:rFonts w:ascii="Times New Roman" w:hAnsi="Times New Roman" w:cs="Times New Roman"/>
          <w:sz w:val="24"/>
          <w:szCs w:val="24"/>
          <w:lang w:eastAsia="zh-CN"/>
        </w:rPr>
      </w:pPr>
      <w:r>
        <w:rPr>
          <w:rFonts w:hint="eastAsia" w:ascii="宋体" w:hAnsi="宋体" w:eastAsia="宋体" w:cs="宋体"/>
          <w:lang w:eastAsia="zh-CN"/>
        </w:rPr>
        <w:t>表</w:t>
      </w:r>
      <w:r>
        <w:rPr>
          <w:rFonts w:ascii="Times New Roman" w:hAnsi="Times New Roman" w:cs="Times New Roman"/>
          <w:lang w:eastAsia="zh-CN"/>
        </w:rPr>
        <w:t xml:space="preserve">2  </w:t>
      </w:r>
      <w:r>
        <w:rPr>
          <w:rFonts w:hint="eastAsia" w:ascii="宋体" w:hAnsi="宋体" w:eastAsia="宋体" w:cs="宋体"/>
          <w:lang w:eastAsia="zh-CN"/>
        </w:rPr>
        <w:t>采用不同方法测定的淀粉含量结果比较</w:t>
      </w:r>
    </w:p>
    <w:tbl>
      <w:tblPr>
        <w:tblStyle w:val="4"/>
        <w:tblW w:w="8119" w:type="dxa"/>
        <w:jc w:val="center"/>
        <w:tblLayout w:type="autofit"/>
        <w:tblCellMar>
          <w:top w:w="0" w:type="dxa"/>
          <w:left w:w="108" w:type="dxa"/>
          <w:bottom w:w="0" w:type="dxa"/>
          <w:right w:w="108" w:type="dxa"/>
        </w:tblCellMar>
      </w:tblPr>
      <w:tblGrid>
        <w:gridCol w:w="2967"/>
        <w:gridCol w:w="2619"/>
        <w:gridCol w:w="2533"/>
      </w:tblGrid>
      <w:tr w14:paraId="41C6B029">
        <w:tblPrEx>
          <w:tblCellMar>
            <w:top w:w="0" w:type="dxa"/>
            <w:left w:w="108" w:type="dxa"/>
            <w:bottom w:w="0" w:type="dxa"/>
            <w:right w:w="108" w:type="dxa"/>
          </w:tblCellMar>
        </w:tblPrEx>
        <w:trPr>
          <w:trHeight w:val="368" w:hRule="atLeast"/>
          <w:jc w:val="center"/>
        </w:trPr>
        <w:tc>
          <w:tcPr>
            <w:tcW w:w="2967" w:type="dxa"/>
            <w:tcBorders>
              <w:top w:val="single" w:color="auto" w:sz="4" w:space="0"/>
              <w:left w:val="nil"/>
              <w:bottom w:val="single" w:color="auto" w:sz="4" w:space="0"/>
              <w:right w:val="nil"/>
            </w:tcBorders>
            <w:noWrap/>
            <w:vAlign w:val="center"/>
          </w:tcPr>
          <w:p w14:paraId="21B0FC91">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甘薯粉样品编号</w:t>
            </w:r>
          </w:p>
        </w:tc>
        <w:tc>
          <w:tcPr>
            <w:tcW w:w="2619" w:type="dxa"/>
            <w:tcBorders>
              <w:top w:val="single" w:color="auto" w:sz="4" w:space="0"/>
              <w:left w:val="nil"/>
              <w:bottom w:val="single" w:color="auto" w:sz="4" w:space="0"/>
              <w:right w:val="nil"/>
            </w:tcBorders>
            <w:noWrap/>
            <w:vAlign w:val="center"/>
          </w:tcPr>
          <w:p w14:paraId="1DD60817">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Megazyme 试剂盒方法</w:t>
            </w:r>
          </w:p>
        </w:tc>
        <w:tc>
          <w:tcPr>
            <w:tcW w:w="2533" w:type="dxa"/>
            <w:tcBorders>
              <w:top w:val="single" w:color="auto" w:sz="4" w:space="0"/>
              <w:left w:val="nil"/>
              <w:bottom w:val="single" w:color="auto" w:sz="4" w:space="0"/>
              <w:right w:val="nil"/>
            </w:tcBorders>
            <w:noWrap/>
            <w:vAlign w:val="center"/>
          </w:tcPr>
          <w:p w14:paraId="370123C9">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双酶法</w:t>
            </w:r>
          </w:p>
        </w:tc>
      </w:tr>
      <w:tr w14:paraId="6851A2A7">
        <w:tblPrEx>
          <w:tblCellMar>
            <w:top w:w="0" w:type="dxa"/>
            <w:left w:w="108" w:type="dxa"/>
            <w:bottom w:w="0" w:type="dxa"/>
            <w:right w:w="108" w:type="dxa"/>
          </w:tblCellMar>
        </w:tblPrEx>
        <w:trPr>
          <w:trHeight w:val="368" w:hRule="atLeast"/>
          <w:jc w:val="center"/>
        </w:trPr>
        <w:tc>
          <w:tcPr>
            <w:tcW w:w="2967" w:type="dxa"/>
            <w:tcBorders>
              <w:top w:val="single" w:color="auto" w:sz="4" w:space="0"/>
              <w:left w:val="nil"/>
              <w:bottom w:val="nil"/>
              <w:right w:val="nil"/>
            </w:tcBorders>
            <w:noWrap/>
            <w:vAlign w:val="center"/>
          </w:tcPr>
          <w:p w14:paraId="7E60DC13">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SP01</w:t>
            </w:r>
          </w:p>
        </w:tc>
        <w:tc>
          <w:tcPr>
            <w:tcW w:w="2619" w:type="dxa"/>
            <w:tcBorders>
              <w:top w:val="single" w:color="auto" w:sz="4" w:space="0"/>
              <w:left w:val="nil"/>
              <w:bottom w:val="nil"/>
              <w:right w:val="nil"/>
            </w:tcBorders>
            <w:noWrap/>
            <w:vAlign w:val="center"/>
          </w:tcPr>
          <w:p w14:paraId="64E7B42B">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64.1</w:t>
            </w:r>
          </w:p>
        </w:tc>
        <w:tc>
          <w:tcPr>
            <w:tcW w:w="2533" w:type="dxa"/>
            <w:tcBorders>
              <w:top w:val="single" w:color="auto" w:sz="4" w:space="0"/>
              <w:left w:val="nil"/>
              <w:bottom w:val="nil"/>
              <w:right w:val="nil"/>
            </w:tcBorders>
            <w:noWrap/>
            <w:vAlign w:val="center"/>
          </w:tcPr>
          <w:p w14:paraId="27F7CBC9">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65.8</w:t>
            </w:r>
          </w:p>
        </w:tc>
      </w:tr>
      <w:tr w14:paraId="61B6D7E1">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1ED9C932">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SP02</w:t>
            </w:r>
          </w:p>
        </w:tc>
        <w:tc>
          <w:tcPr>
            <w:tcW w:w="2619" w:type="dxa"/>
            <w:tcBorders>
              <w:top w:val="nil"/>
              <w:left w:val="nil"/>
              <w:bottom w:val="nil"/>
              <w:right w:val="nil"/>
            </w:tcBorders>
            <w:noWrap/>
            <w:vAlign w:val="center"/>
          </w:tcPr>
          <w:p w14:paraId="2408458D">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70.8</w:t>
            </w:r>
          </w:p>
        </w:tc>
        <w:tc>
          <w:tcPr>
            <w:tcW w:w="2533" w:type="dxa"/>
            <w:tcBorders>
              <w:top w:val="nil"/>
              <w:left w:val="nil"/>
              <w:bottom w:val="nil"/>
              <w:right w:val="nil"/>
            </w:tcBorders>
            <w:noWrap/>
            <w:vAlign w:val="center"/>
          </w:tcPr>
          <w:p w14:paraId="6C610983">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68.3</w:t>
            </w:r>
          </w:p>
        </w:tc>
      </w:tr>
      <w:tr w14:paraId="1D5AFD00">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3E84C527">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SP03</w:t>
            </w:r>
          </w:p>
        </w:tc>
        <w:tc>
          <w:tcPr>
            <w:tcW w:w="2619" w:type="dxa"/>
            <w:tcBorders>
              <w:top w:val="nil"/>
              <w:left w:val="nil"/>
              <w:bottom w:val="nil"/>
              <w:right w:val="nil"/>
            </w:tcBorders>
            <w:noWrap/>
            <w:vAlign w:val="center"/>
          </w:tcPr>
          <w:p w14:paraId="068C5106">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50.2</w:t>
            </w:r>
          </w:p>
        </w:tc>
        <w:tc>
          <w:tcPr>
            <w:tcW w:w="2533" w:type="dxa"/>
            <w:tcBorders>
              <w:top w:val="nil"/>
              <w:left w:val="nil"/>
              <w:bottom w:val="nil"/>
              <w:right w:val="nil"/>
            </w:tcBorders>
            <w:noWrap/>
            <w:vAlign w:val="center"/>
          </w:tcPr>
          <w:p w14:paraId="500CFD37">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55.4</w:t>
            </w:r>
          </w:p>
        </w:tc>
      </w:tr>
      <w:tr w14:paraId="16299054">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46A8B08E">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SP04</w:t>
            </w:r>
          </w:p>
        </w:tc>
        <w:tc>
          <w:tcPr>
            <w:tcW w:w="2619" w:type="dxa"/>
            <w:tcBorders>
              <w:top w:val="nil"/>
              <w:left w:val="nil"/>
              <w:bottom w:val="nil"/>
              <w:right w:val="nil"/>
            </w:tcBorders>
            <w:noWrap/>
            <w:vAlign w:val="center"/>
          </w:tcPr>
          <w:p w14:paraId="508A2355">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53.8</w:t>
            </w:r>
          </w:p>
        </w:tc>
        <w:tc>
          <w:tcPr>
            <w:tcW w:w="2533" w:type="dxa"/>
            <w:tcBorders>
              <w:top w:val="nil"/>
              <w:left w:val="nil"/>
              <w:bottom w:val="nil"/>
              <w:right w:val="nil"/>
            </w:tcBorders>
            <w:noWrap/>
            <w:vAlign w:val="center"/>
          </w:tcPr>
          <w:p w14:paraId="5E7A555C">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54.1</w:t>
            </w:r>
          </w:p>
        </w:tc>
      </w:tr>
      <w:tr w14:paraId="0977B0CF">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53929B30">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SP05</w:t>
            </w:r>
          </w:p>
        </w:tc>
        <w:tc>
          <w:tcPr>
            <w:tcW w:w="2619" w:type="dxa"/>
            <w:tcBorders>
              <w:top w:val="nil"/>
              <w:left w:val="nil"/>
              <w:bottom w:val="nil"/>
              <w:right w:val="nil"/>
            </w:tcBorders>
            <w:noWrap/>
            <w:vAlign w:val="center"/>
          </w:tcPr>
          <w:p w14:paraId="3A5874E0">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55.2</w:t>
            </w:r>
          </w:p>
        </w:tc>
        <w:tc>
          <w:tcPr>
            <w:tcW w:w="2533" w:type="dxa"/>
            <w:tcBorders>
              <w:top w:val="nil"/>
              <w:left w:val="nil"/>
              <w:bottom w:val="nil"/>
              <w:right w:val="nil"/>
            </w:tcBorders>
            <w:noWrap/>
            <w:vAlign w:val="center"/>
          </w:tcPr>
          <w:p w14:paraId="6E88998D">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56.7</w:t>
            </w:r>
          </w:p>
        </w:tc>
      </w:tr>
      <w:tr w14:paraId="50770003">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4FC6AEF8">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SP06</w:t>
            </w:r>
          </w:p>
        </w:tc>
        <w:tc>
          <w:tcPr>
            <w:tcW w:w="2619" w:type="dxa"/>
            <w:tcBorders>
              <w:top w:val="nil"/>
              <w:left w:val="nil"/>
              <w:bottom w:val="nil"/>
              <w:right w:val="nil"/>
            </w:tcBorders>
            <w:noWrap/>
            <w:vAlign w:val="center"/>
          </w:tcPr>
          <w:p w14:paraId="14333BA9">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64.2</w:t>
            </w:r>
          </w:p>
        </w:tc>
        <w:tc>
          <w:tcPr>
            <w:tcW w:w="2533" w:type="dxa"/>
            <w:tcBorders>
              <w:top w:val="nil"/>
              <w:left w:val="nil"/>
              <w:bottom w:val="nil"/>
              <w:right w:val="nil"/>
            </w:tcBorders>
            <w:noWrap/>
            <w:vAlign w:val="center"/>
          </w:tcPr>
          <w:p w14:paraId="0C847486">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63.5</w:t>
            </w:r>
          </w:p>
        </w:tc>
      </w:tr>
      <w:tr w14:paraId="5FEE3299">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004849F0">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SP07</w:t>
            </w:r>
          </w:p>
        </w:tc>
        <w:tc>
          <w:tcPr>
            <w:tcW w:w="2619" w:type="dxa"/>
            <w:tcBorders>
              <w:top w:val="nil"/>
              <w:left w:val="nil"/>
              <w:bottom w:val="nil"/>
              <w:right w:val="nil"/>
            </w:tcBorders>
            <w:noWrap/>
            <w:vAlign w:val="center"/>
          </w:tcPr>
          <w:p w14:paraId="70491D4E">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59.7</w:t>
            </w:r>
          </w:p>
        </w:tc>
        <w:tc>
          <w:tcPr>
            <w:tcW w:w="2533" w:type="dxa"/>
            <w:tcBorders>
              <w:top w:val="nil"/>
              <w:left w:val="nil"/>
              <w:bottom w:val="nil"/>
              <w:right w:val="nil"/>
            </w:tcBorders>
            <w:noWrap/>
            <w:vAlign w:val="center"/>
          </w:tcPr>
          <w:p w14:paraId="3FF61E1E">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62.8</w:t>
            </w:r>
          </w:p>
        </w:tc>
      </w:tr>
      <w:tr w14:paraId="096B483A">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5017FF48">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SPO8</w:t>
            </w:r>
          </w:p>
        </w:tc>
        <w:tc>
          <w:tcPr>
            <w:tcW w:w="2619" w:type="dxa"/>
            <w:tcBorders>
              <w:top w:val="nil"/>
              <w:left w:val="nil"/>
              <w:bottom w:val="nil"/>
              <w:right w:val="nil"/>
            </w:tcBorders>
            <w:noWrap/>
            <w:vAlign w:val="center"/>
          </w:tcPr>
          <w:p w14:paraId="43A955FB">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64.2</w:t>
            </w:r>
          </w:p>
        </w:tc>
        <w:tc>
          <w:tcPr>
            <w:tcW w:w="2533" w:type="dxa"/>
            <w:tcBorders>
              <w:top w:val="nil"/>
              <w:left w:val="nil"/>
              <w:bottom w:val="nil"/>
              <w:right w:val="nil"/>
            </w:tcBorders>
            <w:noWrap/>
            <w:vAlign w:val="center"/>
          </w:tcPr>
          <w:p w14:paraId="52545C71">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62.6</w:t>
            </w:r>
          </w:p>
        </w:tc>
      </w:tr>
      <w:tr w14:paraId="0FBE25FD">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73BE7F22">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SP09</w:t>
            </w:r>
          </w:p>
        </w:tc>
        <w:tc>
          <w:tcPr>
            <w:tcW w:w="2619" w:type="dxa"/>
            <w:tcBorders>
              <w:top w:val="nil"/>
              <w:left w:val="nil"/>
              <w:bottom w:val="nil"/>
              <w:right w:val="nil"/>
            </w:tcBorders>
            <w:noWrap/>
            <w:vAlign w:val="center"/>
          </w:tcPr>
          <w:p w14:paraId="6E201FAE">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61.2</w:t>
            </w:r>
          </w:p>
        </w:tc>
        <w:tc>
          <w:tcPr>
            <w:tcW w:w="2533" w:type="dxa"/>
            <w:tcBorders>
              <w:top w:val="nil"/>
              <w:left w:val="nil"/>
              <w:bottom w:val="nil"/>
              <w:right w:val="nil"/>
            </w:tcBorders>
            <w:noWrap/>
            <w:vAlign w:val="center"/>
          </w:tcPr>
          <w:p w14:paraId="616C3871">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61.7</w:t>
            </w:r>
          </w:p>
        </w:tc>
      </w:tr>
      <w:tr w14:paraId="2B0219EF">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0CC413B6">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SP10</w:t>
            </w:r>
          </w:p>
        </w:tc>
        <w:tc>
          <w:tcPr>
            <w:tcW w:w="2619" w:type="dxa"/>
            <w:tcBorders>
              <w:top w:val="nil"/>
              <w:left w:val="nil"/>
              <w:bottom w:val="nil"/>
              <w:right w:val="nil"/>
            </w:tcBorders>
            <w:noWrap/>
            <w:vAlign w:val="center"/>
          </w:tcPr>
          <w:p w14:paraId="5934D474">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59.6</w:t>
            </w:r>
          </w:p>
        </w:tc>
        <w:tc>
          <w:tcPr>
            <w:tcW w:w="2533" w:type="dxa"/>
            <w:tcBorders>
              <w:top w:val="nil"/>
              <w:left w:val="nil"/>
              <w:bottom w:val="nil"/>
              <w:right w:val="nil"/>
            </w:tcBorders>
            <w:noWrap/>
            <w:vAlign w:val="center"/>
          </w:tcPr>
          <w:p w14:paraId="5AC74DD7">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59.3</w:t>
            </w:r>
          </w:p>
        </w:tc>
      </w:tr>
      <w:tr w14:paraId="444EDE11">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0AA99DB9">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SP11</w:t>
            </w:r>
          </w:p>
        </w:tc>
        <w:tc>
          <w:tcPr>
            <w:tcW w:w="2619" w:type="dxa"/>
            <w:tcBorders>
              <w:top w:val="nil"/>
              <w:left w:val="nil"/>
              <w:bottom w:val="nil"/>
              <w:right w:val="nil"/>
            </w:tcBorders>
            <w:noWrap/>
            <w:vAlign w:val="center"/>
          </w:tcPr>
          <w:p w14:paraId="28148904">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65.4</w:t>
            </w:r>
          </w:p>
        </w:tc>
        <w:tc>
          <w:tcPr>
            <w:tcW w:w="2533" w:type="dxa"/>
            <w:tcBorders>
              <w:top w:val="nil"/>
              <w:left w:val="nil"/>
              <w:bottom w:val="nil"/>
              <w:right w:val="nil"/>
            </w:tcBorders>
            <w:noWrap/>
            <w:vAlign w:val="center"/>
          </w:tcPr>
          <w:p w14:paraId="36D92AE2">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63.8</w:t>
            </w:r>
          </w:p>
        </w:tc>
      </w:tr>
      <w:tr w14:paraId="58455E2F">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20AA1456">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SP12</w:t>
            </w:r>
          </w:p>
        </w:tc>
        <w:tc>
          <w:tcPr>
            <w:tcW w:w="2619" w:type="dxa"/>
            <w:tcBorders>
              <w:top w:val="nil"/>
              <w:left w:val="nil"/>
              <w:bottom w:val="nil"/>
              <w:right w:val="nil"/>
            </w:tcBorders>
            <w:noWrap/>
            <w:vAlign w:val="center"/>
          </w:tcPr>
          <w:p w14:paraId="37DAD8C5">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63</w:t>
            </w:r>
          </w:p>
        </w:tc>
        <w:tc>
          <w:tcPr>
            <w:tcW w:w="2533" w:type="dxa"/>
            <w:tcBorders>
              <w:top w:val="nil"/>
              <w:left w:val="nil"/>
              <w:bottom w:val="nil"/>
              <w:right w:val="nil"/>
            </w:tcBorders>
            <w:noWrap/>
            <w:vAlign w:val="center"/>
          </w:tcPr>
          <w:p w14:paraId="61BAD9E0">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65</w:t>
            </w:r>
          </w:p>
        </w:tc>
      </w:tr>
      <w:tr w14:paraId="33674012">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783B1BEB">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SP13</w:t>
            </w:r>
          </w:p>
        </w:tc>
        <w:tc>
          <w:tcPr>
            <w:tcW w:w="2619" w:type="dxa"/>
            <w:tcBorders>
              <w:top w:val="nil"/>
              <w:left w:val="nil"/>
              <w:bottom w:val="nil"/>
              <w:right w:val="nil"/>
            </w:tcBorders>
            <w:noWrap/>
            <w:vAlign w:val="center"/>
          </w:tcPr>
          <w:p w14:paraId="0EAB0753">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57.6</w:t>
            </w:r>
          </w:p>
        </w:tc>
        <w:tc>
          <w:tcPr>
            <w:tcW w:w="2533" w:type="dxa"/>
            <w:tcBorders>
              <w:top w:val="nil"/>
              <w:left w:val="nil"/>
              <w:bottom w:val="nil"/>
              <w:right w:val="nil"/>
            </w:tcBorders>
            <w:noWrap/>
            <w:vAlign w:val="center"/>
          </w:tcPr>
          <w:p w14:paraId="5244C5DB">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55.7</w:t>
            </w:r>
          </w:p>
        </w:tc>
      </w:tr>
      <w:tr w14:paraId="3572E10E">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1B11C064">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SP14</w:t>
            </w:r>
          </w:p>
        </w:tc>
        <w:tc>
          <w:tcPr>
            <w:tcW w:w="2619" w:type="dxa"/>
            <w:tcBorders>
              <w:top w:val="nil"/>
              <w:left w:val="nil"/>
              <w:bottom w:val="nil"/>
              <w:right w:val="nil"/>
            </w:tcBorders>
            <w:noWrap/>
            <w:vAlign w:val="center"/>
          </w:tcPr>
          <w:p w14:paraId="130E8B9B">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62.4</w:t>
            </w:r>
          </w:p>
        </w:tc>
        <w:tc>
          <w:tcPr>
            <w:tcW w:w="2533" w:type="dxa"/>
            <w:tcBorders>
              <w:top w:val="nil"/>
              <w:left w:val="nil"/>
              <w:bottom w:val="nil"/>
              <w:right w:val="nil"/>
            </w:tcBorders>
            <w:noWrap/>
            <w:vAlign w:val="center"/>
          </w:tcPr>
          <w:p w14:paraId="300E7387">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62</w:t>
            </w:r>
          </w:p>
        </w:tc>
      </w:tr>
      <w:tr w14:paraId="602BCCAA">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133095DA">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SP15</w:t>
            </w:r>
          </w:p>
        </w:tc>
        <w:tc>
          <w:tcPr>
            <w:tcW w:w="2619" w:type="dxa"/>
            <w:tcBorders>
              <w:top w:val="nil"/>
              <w:left w:val="nil"/>
              <w:bottom w:val="nil"/>
              <w:right w:val="nil"/>
            </w:tcBorders>
            <w:noWrap/>
            <w:vAlign w:val="center"/>
          </w:tcPr>
          <w:p w14:paraId="49F195C6">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66</w:t>
            </w:r>
          </w:p>
        </w:tc>
        <w:tc>
          <w:tcPr>
            <w:tcW w:w="2533" w:type="dxa"/>
            <w:tcBorders>
              <w:top w:val="nil"/>
              <w:left w:val="nil"/>
              <w:bottom w:val="nil"/>
              <w:right w:val="nil"/>
            </w:tcBorders>
            <w:noWrap/>
            <w:vAlign w:val="center"/>
          </w:tcPr>
          <w:p w14:paraId="540BB501">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65.7</w:t>
            </w:r>
          </w:p>
        </w:tc>
      </w:tr>
      <w:tr w14:paraId="5569AD9B">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0B5785C7">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SP16</w:t>
            </w:r>
          </w:p>
        </w:tc>
        <w:tc>
          <w:tcPr>
            <w:tcW w:w="2619" w:type="dxa"/>
            <w:tcBorders>
              <w:top w:val="nil"/>
              <w:left w:val="nil"/>
              <w:bottom w:val="nil"/>
              <w:right w:val="nil"/>
            </w:tcBorders>
            <w:noWrap/>
            <w:vAlign w:val="center"/>
          </w:tcPr>
          <w:p w14:paraId="37B3EBF9">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67.1</w:t>
            </w:r>
          </w:p>
        </w:tc>
        <w:tc>
          <w:tcPr>
            <w:tcW w:w="2533" w:type="dxa"/>
            <w:tcBorders>
              <w:top w:val="nil"/>
              <w:left w:val="nil"/>
              <w:bottom w:val="nil"/>
              <w:right w:val="nil"/>
            </w:tcBorders>
            <w:noWrap/>
            <w:vAlign w:val="center"/>
          </w:tcPr>
          <w:p w14:paraId="0C7090A4">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65.4</w:t>
            </w:r>
          </w:p>
        </w:tc>
      </w:tr>
      <w:tr w14:paraId="5B2C7D45">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5235FED4">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SP17</w:t>
            </w:r>
          </w:p>
        </w:tc>
        <w:tc>
          <w:tcPr>
            <w:tcW w:w="2619" w:type="dxa"/>
            <w:tcBorders>
              <w:top w:val="nil"/>
              <w:left w:val="nil"/>
              <w:bottom w:val="nil"/>
              <w:right w:val="nil"/>
            </w:tcBorders>
            <w:noWrap/>
            <w:vAlign w:val="center"/>
          </w:tcPr>
          <w:p w14:paraId="7C7DFDF4">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71</w:t>
            </w:r>
          </w:p>
        </w:tc>
        <w:tc>
          <w:tcPr>
            <w:tcW w:w="2533" w:type="dxa"/>
            <w:tcBorders>
              <w:top w:val="nil"/>
              <w:left w:val="nil"/>
              <w:bottom w:val="nil"/>
              <w:right w:val="nil"/>
            </w:tcBorders>
            <w:noWrap/>
            <w:vAlign w:val="center"/>
          </w:tcPr>
          <w:p w14:paraId="08846BE9">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68.7</w:t>
            </w:r>
          </w:p>
        </w:tc>
      </w:tr>
      <w:tr w14:paraId="1E9F9CBF">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54CE9FAD">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SP18</w:t>
            </w:r>
          </w:p>
        </w:tc>
        <w:tc>
          <w:tcPr>
            <w:tcW w:w="2619" w:type="dxa"/>
            <w:tcBorders>
              <w:top w:val="nil"/>
              <w:left w:val="nil"/>
              <w:bottom w:val="nil"/>
              <w:right w:val="nil"/>
            </w:tcBorders>
            <w:noWrap/>
            <w:vAlign w:val="center"/>
          </w:tcPr>
          <w:p w14:paraId="15D080FF">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67.6</w:t>
            </w:r>
          </w:p>
        </w:tc>
        <w:tc>
          <w:tcPr>
            <w:tcW w:w="2533" w:type="dxa"/>
            <w:tcBorders>
              <w:top w:val="nil"/>
              <w:left w:val="nil"/>
              <w:bottom w:val="nil"/>
              <w:right w:val="nil"/>
            </w:tcBorders>
            <w:noWrap/>
            <w:vAlign w:val="center"/>
          </w:tcPr>
          <w:p w14:paraId="7AF1859C">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65.4</w:t>
            </w:r>
          </w:p>
        </w:tc>
      </w:tr>
      <w:tr w14:paraId="4364B8B8">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6C4D1497">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SP19</w:t>
            </w:r>
          </w:p>
        </w:tc>
        <w:tc>
          <w:tcPr>
            <w:tcW w:w="2619" w:type="dxa"/>
            <w:tcBorders>
              <w:top w:val="nil"/>
              <w:left w:val="nil"/>
              <w:bottom w:val="nil"/>
              <w:right w:val="nil"/>
            </w:tcBorders>
            <w:noWrap/>
            <w:vAlign w:val="center"/>
          </w:tcPr>
          <w:p w14:paraId="641BD073">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68.4</w:t>
            </w:r>
          </w:p>
        </w:tc>
        <w:tc>
          <w:tcPr>
            <w:tcW w:w="2533" w:type="dxa"/>
            <w:tcBorders>
              <w:top w:val="nil"/>
              <w:left w:val="nil"/>
              <w:bottom w:val="nil"/>
              <w:right w:val="nil"/>
            </w:tcBorders>
            <w:noWrap/>
            <w:vAlign w:val="center"/>
          </w:tcPr>
          <w:p w14:paraId="1A18C5B0">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64.6</w:t>
            </w:r>
          </w:p>
        </w:tc>
      </w:tr>
      <w:tr w14:paraId="5A292C3C">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0A0F4523">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SP20</w:t>
            </w:r>
          </w:p>
        </w:tc>
        <w:tc>
          <w:tcPr>
            <w:tcW w:w="2619" w:type="dxa"/>
            <w:tcBorders>
              <w:top w:val="nil"/>
              <w:left w:val="nil"/>
              <w:bottom w:val="nil"/>
              <w:right w:val="nil"/>
            </w:tcBorders>
            <w:noWrap/>
            <w:vAlign w:val="center"/>
          </w:tcPr>
          <w:p w14:paraId="06DBFE79">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67.1</w:t>
            </w:r>
          </w:p>
        </w:tc>
        <w:tc>
          <w:tcPr>
            <w:tcW w:w="2533" w:type="dxa"/>
            <w:tcBorders>
              <w:top w:val="nil"/>
              <w:left w:val="nil"/>
              <w:bottom w:val="nil"/>
              <w:right w:val="nil"/>
            </w:tcBorders>
            <w:noWrap/>
            <w:vAlign w:val="center"/>
          </w:tcPr>
          <w:p w14:paraId="40BE289F">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68.6</w:t>
            </w:r>
          </w:p>
        </w:tc>
      </w:tr>
      <w:tr w14:paraId="0440DE4E">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7892D6C8">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SP21</w:t>
            </w:r>
          </w:p>
        </w:tc>
        <w:tc>
          <w:tcPr>
            <w:tcW w:w="2619" w:type="dxa"/>
            <w:tcBorders>
              <w:top w:val="nil"/>
              <w:left w:val="nil"/>
              <w:bottom w:val="nil"/>
              <w:right w:val="nil"/>
            </w:tcBorders>
            <w:noWrap/>
            <w:vAlign w:val="center"/>
          </w:tcPr>
          <w:p w14:paraId="3446A075">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58.3</w:t>
            </w:r>
          </w:p>
        </w:tc>
        <w:tc>
          <w:tcPr>
            <w:tcW w:w="2533" w:type="dxa"/>
            <w:tcBorders>
              <w:top w:val="nil"/>
              <w:left w:val="nil"/>
              <w:bottom w:val="nil"/>
              <w:right w:val="nil"/>
            </w:tcBorders>
            <w:noWrap/>
            <w:vAlign w:val="center"/>
          </w:tcPr>
          <w:p w14:paraId="14866E44">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55.9</w:t>
            </w:r>
          </w:p>
        </w:tc>
      </w:tr>
      <w:tr w14:paraId="4A5D359F">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479D0145">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SP22</w:t>
            </w:r>
          </w:p>
        </w:tc>
        <w:tc>
          <w:tcPr>
            <w:tcW w:w="2619" w:type="dxa"/>
            <w:tcBorders>
              <w:top w:val="nil"/>
              <w:left w:val="nil"/>
              <w:bottom w:val="nil"/>
              <w:right w:val="nil"/>
            </w:tcBorders>
            <w:noWrap/>
            <w:vAlign w:val="center"/>
          </w:tcPr>
          <w:p w14:paraId="6D4690FA">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60.9</w:t>
            </w:r>
          </w:p>
        </w:tc>
        <w:tc>
          <w:tcPr>
            <w:tcW w:w="2533" w:type="dxa"/>
            <w:tcBorders>
              <w:top w:val="nil"/>
              <w:left w:val="nil"/>
              <w:bottom w:val="nil"/>
              <w:right w:val="nil"/>
            </w:tcBorders>
            <w:noWrap/>
            <w:vAlign w:val="center"/>
          </w:tcPr>
          <w:p w14:paraId="4734A9A7">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60.3</w:t>
            </w:r>
          </w:p>
        </w:tc>
      </w:tr>
      <w:tr w14:paraId="0181E17A">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74DEF950">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SP23</w:t>
            </w:r>
          </w:p>
        </w:tc>
        <w:tc>
          <w:tcPr>
            <w:tcW w:w="2619" w:type="dxa"/>
            <w:tcBorders>
              <w:top w:val="nil"/>
              <w:left w:val="nil"/>
              <w:bottom w:val="nil"/>
              <w:right w:val="nil"/>
            </w:tcBorders>
            <w:noWrap/>
            <w:vAlign w:val="center"/>
          </w:tcPr>
          <w:p w14:paraId="290F6920">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63.8</w:t>
            </w:r>
          </w:p>
        </w:tc>
        <w:tc>
          <w:tcPr>
            <w:tcW w:w="2533" w:type="dxa"/>
            <w:tcBorders>
              <w:top w:val="nil"/>
              <w:left w:val="nil"/>
              <w:bottom w:val="nil"/>
              <w:right w:val="nil"/>
            </w:tcBorders>
            <w:noWrap/>
            <w:vAlign w:val="center"/>
          </w:tcPr>
          <w:p w14:paraId="4F40BC3A">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62.1</w:t>
            </w:r>
          </w:p>
        </w:tc>
      </w:tr>
      <w:tr w14:paraId="6ABDCD08">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6EB3C814">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SP24</w:t>
            </w:r>
          </w:p>
        </w:tc>
        <w:tc>
          <w:tcPr>
            <w:tcW w:w="2619" w:type="dxa"/>
            <w:tcBorders>
              <w:top w:val="nil"/>
              <w:left w:val="nil"/>
              <w:bottom w:val="nil"/>
              <w:right w:val="nil"/>
            </w:tcBorders>
            <w:noWrap/>
            <w:vAlign w:val="center"/>
          </w:tcPr>
          <w:p w14:paraId="020FA167">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67.8</w:t>
            </w:r>
          </w:p>
        </w:tc>
        <w:tc>
          <w:tcPr>
            <w:tcW w:w="2533" w:type="dxa"/>
            <w:tcBorders>
              <w:top w:val="nil"/>
              <w:left w:val="nil"/>
              <w:bottom w:val="nil"/>
              <w:right w:val="nil"/>
            </w:tcBorders>
            <w:noWrap/>
            <w:vAlign w:val="center"/>
          </w:tcPr>
          <w:p w14:paraId="2CAFAE48">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66.4</w:t>
            </w:r>
          </w:p>
        </w:tc>
      </w:tr>
      <w:tr w14:paraId="493B8472">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0E6FAAB0">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SP25</w:t>
            </w:r>
          </w:p>
        </w:tc>
        <w:tc>
          <w:tcPr>
            <w:tcW w:w="2619" w:type="dxa"/>
            <w:tcBorders>
              <w:top w:val="nil"/>
              <w:left w:val="nil"/>
              <w:bottom w:val="nil"/>
              <w:right w:val="nil"/>
            </w:tcBorders>
            <w:noWrap/>
            <w:vAlign w:val="center"/>
          </w:tcPr>
          <w:p w14:paraId="6CF3E24C">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62.8</w:t>
            </w:r>
          </w:p>
        </w:tc>
        <w:tc>
          <w:tcPr>
            <w:tcW w:w="2533" w:type="dxa"/>
            <w:tcBorders>
              <w:top w:val="nil"/>
              <w:left w:val="nil"/>
              <w:bottom w:val="nil"/>
              <w:right w:val="nil"/>
            </w:tcBorders>
            <w:noWrap/>
            <w:vAlign w:val="center"/>
          </w:tcPr>
          <w:p w14:paraId="633D7EEF">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59.8</w:t>
            </w:r>
          </w:p>
        </w:tc>
      </w:tr>
      <w:tr w14:paraId="044DC8E8">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0B54D94B">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SP26</w:t>
            </w:r>
          </w:p>
        </w:tc>
        <w:tc>
          <w:tcPr>
            <w:tcW w:w="2619" w:type="dxa"/>
            <w:tcBorders>
              <w:top w:val="nil"/>
              <w:left w:val="nil"/>
              <w:bottom w:val="nil"/>
              <w:right w:val="nil"/>
            </w:tcBorders>
            <w:noWrap/>
            <w:vAlign w:val="center"/>
          </w:tcPr>
          <w:p w14:paraId="5120B77C">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64.7</w:t>
            </w:r>
          </w:p>
        </w:tc>
        <w:tc>
          <w:tcPr>
            <w:tcW w:w="2533" w:type="dxa"/>
            <w:tcBorders>
              <w:top w:val="nil"/>
              <w:left w:val="nil"/>
              <w:bottom w:val="nil"/>
              <w:right w:val="nil"/>
            </w:tcBorders>
            <w:noWrap/>
            <w:vAlign w:val="center"/>
          </w:tcPr>
          <w:p w14:paraId="6F2BF473">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63.3</w:t>
            </w:r>
          </w:p>
        </w:tc>
      </w:tr>
      <w:tr w14:paraId="07AF5A2C">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372119C3">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SP27</w:t>
            </w:r>
          </w:p>
        </w:tc>
        <w:tc>
          <w:tcPr>
            <w:tcW w:w="2619" w:type="dxa"/>
            <w:tcBorders>
              <w:top w:val="nil"/>
              <w:left w:val="nil"/>
              <w:bottom w:val="nil"/>
              <w:right w:val="nil"/>
            </w:tcBorders>
            <w:noWrap/>
            <w:vAlign w:val="center"/>
          </w:tcPr>
          <w:p w14:paraId="0BE6317F">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66.2</w:t>
            </w:r>
          </w:p>
        </w:tc>
        <w:tc>
          <w:tcPr>
            <w:tcW w:w="2533" w:type="dxa"/>
            <w:tcBorders>
              <w:top w:val="nil"/>
              <w:left w:val="nil"/>
              <w:bottom w:val="nil"/>
              <w:right w:val="nil"/>
            </w:tcBorders>
            <w:noWrap/>
            <w:vAlign w:val="center"/>
          </w:tcPr>
          <w:p w14:paraId="19059EF2">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63.2</w:t>
            </w:r>
          </w:p>
        </w:tc>
      </w:tr>
      <w:tr w14:paraId="16945C4A">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6D22FC8F">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SP28</w:t>
            </w:r>
          </w:p>
        </w:tc>
        <w:tc>
          <w:tcPr>
            <w:tcW w:w="2619" w:type="dxa"/>
            <w:tcBorders>
              <w:top w:val="nil"/>
              <w:left w:val="nil"/>
              <w:bottom w:val="nil"/>
              <w:right w:val="nil"/>
            </w:tcBorders>
            <w:noWrap/>
            <w:vAlign w:val="center"/>
          </w:tcPr>
          <w:p w14:paraId="723FEB17">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70.3</w:t>
            </w:r>
          </w:p>
        </w:tc>
        <w:tc>
          <w:tcPr>
            <w:tcW w:w="2533" w:type="dxa"/>
            <w:tcBorders>
              <w:top w:val="nil"/>
              <w:left w:val="nil"/>
              <w:bottom w:val="nil"/>
              <w:right w:val="nil"/>
            </w:tcBorders>
            <w:noWrap/>
            <w:vAlign w:val="center"/>
          </w:tcPr>
          <w:p w14:paraId="192AB5FD">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71.6</w:t>
            </w:r>
          </w:p>
        </w:tc>
      </w:tr>
      <w:tr w14:paraId="4DB7A431">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54A55142">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SP29</w:t>
            </w:r>
          </w:p>
        </w:tc>
        <w:tc>
          <w:tcPr>
            <w:tcW w:w="2619" w:type="dxa"/>
            <w:tcBorders>
              <w:top w:val="nil"/>
              <w:left w:val="nil"/>
              <w:bottom w:val="nil"/>
              <w:right w:val="nil"/>
            </w:tcBorders>
            <w:noWrap/>
            <w:vAlign w:val="center"/>
          </w:tcPr>
          <w:p w14:paraId="652B2AAA">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56</w:t>
            </w:r>
          </w:p>
        </w:tc>
        <w:tc>
          <w:tcPr>
            <w:tcW w:w="2533" w:type="dxa"/>
            <w:tcBorders>
              <w:top w:val="nil"/>
              <w:left w:val="nil"/>
              <w:bottom w:val="nil"/>
              <w:right w:val="nil"/>
            </w:tcBorders>
            <w:noWrap/>
            <w:vAlign w:val="center"/>
          </w:tcPr>
          <w:p w14:paraId="4410A5DB">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53.7</w:t>
            </w:r>
          </w:p>
        </w:tc>
      </w:tr>
      <w:tr w14:paraId="743F8658">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1922B948">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平行试验次数</w:t>
            </w:r>
          </w:p>
        </w:tc>
        <w:tc>
          <w:tcPr>
            <w:tcW w:w="2619" w:type="dxa"/>
            <w:tcBorders>
              <w:top w:val="nil"/>
              <w:left w:val="nil"/>
              <w:bottom w:val="nil"/>
              <w:right w:val="nil"/>
            </w:tcBorders>
            <w:noWrap/>
            <w:vAlign w:val="center"/>
          </w:tcPr>
          <w:p w14:paraId="642AAB96">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2</w:t>
            </w:r>
          </w:p>
        </w:tc>
        <w:tc>
          <w:tcPr>
            <w:tcW w:w="2533" w:type="dxa"/>
            <w:tcBorders>
              <w:top w:val="nil"/>
              <w:left w:val="nil"/>
              <w:bottom w:val="nil"/>
              <w:right w:val="nil"/>
            </w:tcBorders>
            <w:noWrap/>
            <w:vAlign w:val="center"/>
          </w:tcPr>
          <w:p w14:paraId="54058EAE">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2</w:t>
            </w:r>
          </w:p>
        </w:tc>
      </w:tr>
      <w:tr w14:paraId="363A5F7B">
        <w:tblPrEx>
          <w:tblCellMar>
            <w:top w:w="0" w:type="dxa"/>
            <w:left w:w="108" w:type="dxa"/>
            <w:bottom w:w="0" w:type="dxa"/>
            <w:right w:w="108" w:type="dxa"/>
          </w:tblCellMar>
        </w:tblPrEx>
        <w:trPr>
          <w:trHeight w:val="334" w:hRule="atLeast"/>
          <w:jc w:val="center"/>
        </w:trPr>
        <w:tc>
          <w:tcPr>
            <w:tcW w:w="2967" w:type="dxa"/>
            <w:tcBorders>
              <w:top w:val="nil"/>
              <w:left w:val="nil"/>
              <w:bottom w:val="nil"/>
              <w:right w:val="nil"/>
            </w:tcBorders>
            <w:noWrap/>
            <w:vAlign w:val="center"/>
          </w:tcPr>
          <w:p w14:paraId="4411D5B4">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标准误</w:t>
            </w:r>
          </w:p>
        </w:tc>
        <w:tc>
          <w:tcPr>
            <w:tcW w:w="2619" w:type="dxa"/>
            <w:tcBorders>
              <w:top w:val="nil"/>
              <w:left w:val="nil"/>
              <w:bottom w:val="nil"/>
              <w:right w:val="nil"/>
            </w:tcBorders>
            <w:noWrap/>
            <w:vAlign w:val="center"/>
          </w:tcPr>
          <w:p w14:paraId="7B403E6B">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0.27</w:t>
            </w:r>
          </w:p>
        </w:tc>
        <w:tc>
          <w:tcPr>
            <w:tcW w:w="2533" w:type="dxa"/>
            <w:tcBorders>
              <w:top w:val="nil"/>
              <w:left w:val="nil"/>
              <w:bottom w:val="nil"/>
              <w:right w:val="nil"/>
            </w:tcBorders>
            <w:noWrap/>
            <w:vAlign w:val="center"/>
          </w:tcPr>
          <w:p w14:paraId="6AA77B84">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0.22</w:t>
            </w:r>
          </w:p>
        </w:tc>
      </w:tr>
      <w:tr w14:paraId="7679B59E">
        <w:tblPrEx>
          <w:tblCellMar>
            <w:top w:w="0" w:type="dxa"/>
            <w:left w:w="108" w:type="dxa"/>
            <w:bottom w:w="0" w:type="dxa"/>
            <w:right w:w="108" w:type="dxa"/>
          </w:tblCellMar>
        </w:tblPrEx>
        <w:trPr>
          <w:trHeight w:val="403" w:hRule="atLeast"/>
          <w:jc w:val="center"/>
        </w:trPr>
        <w:tc>
          <w:tcPr>
            <w:tcW w:w="2967" w:type="dxa"/>
            <w:tcBorders>
              <w:top w:val="nil"/>
              <w:left w:val="nil"/>
              <w:bottom w:val="single" w:color="auto" w:sz="4" w:space="0"/>
              <w:right w:val="nil"/>
            </w:tcBorders>
            <w:noWrap/>
            <w:vAlign w:val="center"/>
          </w:tcPr>
          <w:p w14:paraId="786DB411">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LSD</w:t>
            </w:r>
            <w:r>
              <w:rPr>
                <w:rStyle w:val="10"/>
                <w:rFonts w:hint="default" w:ascii="Times New Roman" w:hAnsi="Times New Roman" w:cs="Times New Roman"/>
                <w:color w:val="auto"/>
                <w:lang w:bidi="ar"/>
              </w:rPr>
              <w:t>0.05</w:t>
            </w:r>
          </w:p>
        </w:tc>
        <w:tc>
          <w:tcPr>
            <w:tcW w:w="2619" w:type="dxa"/>
            <w:tcBorders>
              <w:top w:val="nil"/>
              <w:left w:val="nil"/>
              <w:bottom w:val="single" w:color="auto" w:sz="4" w:space="0"/>
              <w:right w:val="nil"/>
            </w:tcBorders>
            <w:noWrap/>
            <w:vAlign w:val="center"/>
          </w:tcPr>
          <w:p w14:paraId="23A1EDD5">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0.78</w:t>
            </w:r>
          </w:p>
        </w:tc>
        <w:tc>
          <w:tcPr>
            <w:tcW w:w="2533" w:type="dxa"/>
            <w:tcBorders>
              <w:top w:val="nil"/>
              <w:left w:val="nil"/>
              <w:bottom w:val="single" w:color="auto" w:sz="4" w:space="0"/>
              <w:right w:val="nil"/>
            </w:tcBorders>
            <w:noWrap/>
            <w:vAlign w:val="center"/>
          </w:tcPr>
          <w:p w14:paraId="162DCF63">
            <w:pPr>
              <w:jc w:val="center"/>
              <w:textAlignment w:val="center"/>
              <w:rPr>
                <w:rFonts w:ascii="Times New Roman" w:hAnsi="Times New Roman" w:eastAsia="宋体" w:cs="Times New Roman"/>
                <w:sz w:val="22"/>
                <w:szCs w:val="22"/>
              </w:rPr>
            </w:pPr>
            <w:r>
              <w:rPr>
                <w:rFonts w:ascii="Times New Roman" w:hAnsi="Times New Roman" w:eastAsia="宋体" w:cs="Times New Roman"/>
                <w:sz w:val="22"/>
                <w:szCs w:val="22"/>
                <w:lang w:bidi="ar"/>
              </w:rPr>
              <w:t>0.64</w:t>
            </w:r>
          </w:p>
        </w:tc>
      </w:tr>
    </w:tbl>
    <w:p w14:paraId="3639787E">
      <w:pPr>
        <w:spacing w:line="360" w:lineRule="auto"/>
        <w:rPr>
          <w:rFonts w:ascii="Times New Roman" w:hAnsi="Times New Roman" w:cs="Times New Roman" w:eastAsiaTheme="minorEastAsia"/>
          <w:lang w:eastAsia="zh-CN"/>
        </w:rPr>
      </w:pPr>
      <w:r>
        <w:rPr>
          <w:rFonts w:ascii="Times New Roman" w:hAnsi="Times New Roman" w:cs="Times New Roman" w:eastAsiaTheme="minorEastAsia"/>
          <w:lang w:eastAsia="zh-CN"/>
        </w:rPr>
        <w:t>注:表中为2次平行试验测定结果的平均值。在第一行上标部分带有不同大写字母的方法之间具有显著性差异(P&lt;0.05):在同一列、带有不同小写字母的淀粉含量之间没有显著性差异(P&gt;0.05)。</w:t>
      </w:r>
    </w:p>
    <w:p w14:paraId="55D04A9F">
      <w:pPr>
        <w:pStyle w:val="9"/>
        <w:spacing w:line="360" w:lineRule="auto"/>
        <w:ind w:firstLine="420"/>
        <w:rPr>
          <w:rFonts w:ascii="Times New Roman" w:hAnsi="Times New Roman" w:cs="Times New Roman"/>
          <w:sz w:val="24"/>
          <w:szCs w:val="24"/>
        </w:rPr>
      </w:pPr>
      <w:r>
        <w:rPr>
          <w:rFonts w:ascii="Times New Roman" w:hAnsi="Times New Roman" w:cs="Times New Roman"/>
          <w:sz w:val="24"/>
          <w:szCs w:val="24"/>
        </w:rPr>
        <w:t>如表2所示，两种方法之间存在显著性差异（P&lt;0.05）。无论采用哪种方法，29个甘薯粉样品的淀粉含量差异均显著。同时表2显示，Megazyme试剂盒法测定的20个品种的淀粉含量都高于改进的双酶法，认为很可能是因为吸光光度法导致 Megazyme试剂盒法高估了样品的淀粉含量。而且从整体来看，改进双酶法测定结果的标准差小于Megazyme试剂盒法的测定结果，这意味着改进双酶法进一步提高了实验结果的重复性。</w:t>
      </w:r>
    </w:p>
    <w:p w14:paraId="32CB8F3A">
      <w:pPr>
        <w:pStyle w:val="9"/>
        <w:spacing w:line="360" w:lineRule="auto"/>
        <w:ind w:firstLine="420"/>
        <w:jc w:val="center"/>
        <w:rPr>
          <w:rFonts w:ascii="Times New Roman" w:hAnsi="Times New Roman" w:cs="Times New Roman"/>
          <w:sz w:val="24"/>
          <w:szCs w:val="24"/>
        </w:rPr>
      </w:pPr>
      <w:r>
        <w:rPr>
          <w:rFonts w:ascii="Times New Roman" w:hAnsi="Times New Roman" w:cs="Times New Roman"/>
          <w:sz w:val="24"/>
          <w:szCs w:val="24"/>
        </w:rPr>
        <w:drawing>
          <wp:inline distT="0" distB="0" distL="114300" distR="114300">
            <wp:extent cx="3599815" cy="2278380"/>
            <wp:effectExtent l="0" t="0" r="635" b="7620"/>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10"/>
                    <a:stretch>
                      <a:fillRect/>
                    </a:stretch>
                  </pic:blipFill>
                  <pic:spPr>
                    <a:xfrm>
                      <a:off x="0" y="0"/>
                      <a:ext cx="3600000" cy="2278385"/>
                    </a:xfrm>
                    <a:prstGeom prst="rect">
                      <a:avLst/>
                    </a:prstGeom>
                    <a:noFill/>
                    <a:ln>
                      <a:noFill/>
                    </a:ln>
                  </pic:spPr>
                </pic:pic>
              </a:graphicData>
            </a:graphic>
          </wp:inline>
        </w:drawing>
      </w:r>
    </w:p>
    <w:p w14:paraId="46427944">
      <w:pPr>
        <w:pStyle w:val="9"/>
        <w:spacing w:line="360" w:lineRule="auto"/>
        <w:ind w:firstLine="420"/>
        <w:jc w:val="center"/>
        <w:rPr>
          <w:rFonts w:ascii="Times New Roman" w:hAnsi="Times New Roman" w:cs="Times New Roman"/>
          <w:sz w:val="24"/>
          <w:szCs w:val="24"/>
        </w:rPr>
      </w:pPr>
      <w:r>
        <w:rPr>
          <w:rFonts w:ascii="Times New Roman" w:hAnsi="Times New Roman" w:cs="Times New Roman"/>
          <w:sz w:val="24"/>
          <w:szCs w:val="24"/>
        </w:rPr>
        <w:t xml:space="preserve">图3  </w:t>
      </w:r>
      <w:r>
        <w:rPr>
          <w:rFonts w:ascii="Times New Roman" w:hAnsi="Times New Roman" w:cs="Times New Roman"/>
          <w:bCs/>
          <w:sz w:val="24"/>
          <w:szCs w:val="24"/>
        </w:rPr>
        <w:t>双酶法与Megzyme试剂盒法测定甘薯粉的淀粉含量结果相关性分析</w:t>
      </w:r>
    </w:p>
    <w:p w14:paraId="7F32ED55">
      <w:pPr>
        <w:pStyle w:val="9"/>
        <w:spacing w:line="360" w:lineRule="auto"/>
        <w:ind w:firstLine="420"/>
        <w:rPr>
          <w:rFonts w:ascii="Times New Roman" w:hAnsi="Times New Roman" w:cs="Times New Roman"/>
          <w:sz w:val="24"/>
          <w:szCs w:val="24"/>
        </w:rPr>
      </w:pPr>
      <w:r>
        <w:rPr>
          <w:rFonts w:ascii="Times New Roman" w:hAnsi="Times New Roman" w:cs="Times New Roman"/>
          <w:sz w:val="24"/>
          <w:szCs w:val="24"/>
        </w:rPr>
        <w:t>如图3所示，两种方法的测定结果之间呈极显著相关（R</w:t>
      </w:r>
      <w:r>
        <w:rPr>
          <w:rFonts w:ascii="Times New Roman" w:hAnsi="Times New Roman" w:cs="Times New Roman"/>
          <w:sz w:val="24"/>
          <w:szCs w:val="24"/>
          <w:vertAlign w:val="superscript"/>
        </w:rPr>
        <w:t>2</w:t>
      </w:r>
      <w:r>
        <w:rPr>
          <w:rFonts w:ascii="Times New Roman" w:hAnsi="Times New Roman" w:cs="Times New Roman"/>
          <w:sz w:val="24"/>
          <w:szCs w:val="24"/>
        </w:rPr>
        <w:t>=0.84，P&lt;0.0001），这说明采用新方法测定淀粉含量是可靠的。</w:t>
      </w:r>
    </w:p>
    <w:p w14:paraId="5FC7C898">
      <w:pPr>
        <w:widowControl w:val="0"/>
        <w:kinsoku/>
        <w:autoSpaceDE/>
        <w:autoSpaceDN/>
        <w:spacing w:line="500" w:lineRule="exact"/>
        <w:ind w:firstLine="480" w:firstLineChars="200"/>
        <w:jc w:val="both"/>
        <w:textAlignment w:val="auto"/>
        <w:rPr>
          <w:rFonts w:ascii="Times New Roman" w:hAnsi="Times New Roman" w:eastAsia="仿宋_GB2312" w:cs="Times New Roman"/>
          <w:color w:val="EE0000"/>
          <w:sz w:val="28"/>
          <w:szCs w:val="28"/>
          <w:lang w:eastAsia="zh-CN"/>
        </w:rPr>
      </w:pPr>
      <w:r>
        <w:rPr>
          <w:rFonts w:hint="eastAsia" w:ascii="宋体" w:hAnsi="宋体" w:eastAsia="宋体" w:cs="宋体"/>
          <w:sz w:val="24"/>
          <w:szCs w:val="24"/>
          <w:lang w:eastAsia="zh-CN"/>
        </w:rPr>
        <w:t>通过对比分析</w:t>
      </w:r>
      <w:r>
        <w:rPr>
          <w:rFonts w:ascii="Times New Roman" w:hAnsi="Times New Roman" w:cs="Times New Roman"/>
          <w:sz w:val="24"/>
          <w:szCs w:val="24"/>
          <w:lang w:eastAsia="zh-CN"/>
        </w:rPr>
        <w:t>Megazyme</w:t>
      </w:r>
      <w:r>
        <w:rPr>
          <w:rFonts w:hint="eastAsia" w:ascii="宋体" w:hAnsi="宋体" w:eastAsia="宋体" w:cs="宋体"/>
          <w:sz w:val="24"/>
          <w:szCs w:val="24"/>
          <w:lang w:eastAsia="zh-CN"/>
        </w:rPr>
        <w:t>试剂盒法与新方法对</w:t>
      </w:r>
      <w:r>
        <w:rPr>
          <w:rFonts w:ascii="Times New Roman" w:hAnsi="Times New Roman" w:cs="Times New Roman"/>
          <w:sz w:val="24"/>
          <w:szCs w:val="24"/>
          <w:lang w:eastAsia="zh-CN"/>
        </w:rPr>
        <w:t>29</w:t>
      </w:r>
      <w:r>
        <w:rPr>
          <w:rFonts w:hint="eastAsia" w:ascii="宋体" w:hAnsi="宋体" w:eastAsia="宋体" w:cs="宋体"/>
          <w:sz w:val="24"/>
          <w:szCs w:val="24"/>
          <w:lang w:eastAsia="zh-CN"/>
        </w:rPr>
        <w:t>个甘薯粉样品的淀粉含量测定结果，进一步证实了双酶法能较准确地测定淀粉含量。双酶法能显著降低酶制剂的购置成本，而且简化了操作步骤，提高了分析结果的准确度、精确性和重复性，有利于在国内的推广利用。</w:t>
      </w:r>
    </w:p>
    <w:p w14:paraId="0E674CA8">
      <w:pPr>
        <w:widowControl w:val="0"/>
        <w:kinsoku/>
        <w:autoSpaceDE/>
        <w:autoSpaceDN/>
        <w:spacing w:line="500" w:lineRule="exact"/>
        <w:ind w:firstLine="562" w:firstLineChars="200"/>
        <w:jc w:val="both"/>
        <w:textAlignment w:val="auto"/>
        <w:rPr>
          <w:rFonts w:ascii="Times New Roman" w:hAnsi="Times New Roman" w:eastAsia="仿宋_GB2312" w:cs="Times New Roman"/>
          <w:sz w:val="28"/>
          <w:szCs w:val="28"/>
          <w:lang w:eastAsia="zh-CN"/>
        </w:rPr>
      </w:pPr>
      <w:r>
        <w:rPr>
          <w:rFonts w:ascii="Times New Roman" w:hAnsi="Times New Roman" w:eastAsia="仿宋_GB2312" w:cs="Times New Roman"/>
          <w:b/>
          <w:sz w:val="28"/>
          <w:szCs w:val="28"/>
          <w:lang w:eastAsia="zh-CN"/>
        </w:rPr>
        <w:t>5.与有关的现行法律法规和强制性国家标准的关系</w:t>
      </w:r>
      <w:r>
        <w:rPr>
          <w:rFonts w:ascii="Times New Roman" w:hAnsi="Times New Roman" w:eastAsia="仿宋_GB2312" w:cs="Times New Roman"/>
          <w:sz w:val="28"/>
          <w:szCs w:val="28"/>
          <w:lang w:eastAsia="zh-CN"/>
        </w:rPr>
        <w:t>（简要说明标准与法律法规、标准的协调性）</w:t>
      </w:r>
    </w:p>
    <w:p w14:paraId="2BF48FEA">
      <w:pPr>
        <w:widowControl w:val="0"/>
        <w:kinsoku/>
        <w:autoSpaceDE/>
        <w:autoSpaceDN/>
        <w:spacing w:line="500" w:lineRule="exact"/>
        <w:ind w:firstLine="480" w:firstLineChars="200"/>
        <w:jc w:val="both"/>
        <w:textAlignment w:val="auto"/>
        <w:rPr>
          <w:rFonts w:ascii="Times New Roman" w:hAnsi="Times New Roman" w:eastAsia="仿宋_GB2312" w:cs="Times New Roman"/>
          <w:sz w:val="28"/>
          <w:szCs w:val="28"/>
          <w:lang w:eastAsia="zh-CN"/>
        </w:rPr>
      </w:pPr>
      <w:bookmarkStart w:id="5" w:name="_Toc6220376"/>
      <w:r>
        <w:rPr>
          <w:rFonts w:hint="eastAsia" w:ascii="宋体" w:hAnsi="宋体" w:eastAsia="宋体" w:cs="宋体"/>
          <w:sz w:val="24"/>
          <w:szCs w:val="24"/>
          <w:lang w:eastAsia="zh-CN"/>
        </w:rPr>
        <w:t>本标准</w:t>
      </w:r>
      <w:bookmarkEnd w:id="5"/>
      <w:bookmarkStart w:id="6" w:name="_Toc6220378"/>
      <w:r>
        <w:rPr>
          <w:rFonts w:hint="eastAsia" w:ascii="宋体" w:hAnsi="宋体" w:eastAsia="宋体" w:cs="宋体"/>
          <w:sz w:val="24"/>
          <w:szCs w:val="24"/>
          <w:lang w:eastAsia="zh-CN"/>
        </w:rPr>
        <w:t>本项目将借鉴</w:t>
      </w:r>
      <w:r>
        <w:rPr>
          <w:rFonts w:ascii="Times New Roman" w:hAnsi="Times New Roman" w:cs="Times New Roman"/>
          <w:sz w:val="24"/>
          <w:szCs w:val="24"/>
          <w:lang w:eastAsia="zh-CN"/>
        </w:rPr>
        <w:t>AACC 76-13.01</w:t>
      </w:r>
      <w:r>
        <w:rPr>
          <w:rFonts w:hint="eastAsia" w:ascii="宋体" w:hAnsi="宋体" w:eastAsia="宋体" w:cs="宋体"/>
          <w:sz w:val="24"/>
          <w:szCs w:val="24"/>
          <w:lang w:eastAsia="zh-CN"/>
        </w:rPr>
        <w:t>方法，依据其基本原理，采用价格相对较低的商品酶代替</w:t>
      </w:r>
      <w:r>
        <w:rPr>
          <w:rFonts w:ascii="Times New Roman" w:hAnsi="Times New Roman" w:cs="Times New Roman"/>
          <w:sz w:val="24"/>
          <w:szCs w:val="24"/>
          <w:lang w:eastAsia="zh-CN"/>
        </w:rPr>
        <w:t>Megazyme</w:t>
      </w:r>
      <w:r>
        <w:rPr>
          <w:rFonts w:hint="eastAsia" w:ascii="宋体" w:hAnsi="宋体" w:eastAsia="宋体" w:cs="宋体"/>
          <w:sz w:val="24"/>
          <w:szCs w:val="24"/>
          <w:lang w:eastAsia="zh-CN"/>
        </w:rPr>
        <w:t>酶制剂，同时结合气浴恒温摇床和</w:t>
      </w:r>
      <w:r>
        <w:rPr>
          <w:rFonts w:ascii="Times New Roman" w:hAnsi="Times New Roman" w:cs="Times New Roman"/>
          <w:sz w:val="24"/>
          <w:szCs w:val="24"/>
          <w:lang w:eastAsia="zh-CN"/>
        </w:rPr>
        <w:t>HPLC</w:t>
      </w:r>
      <w:r>
        <w:rPr>
          <w:rFonts w:hint="eastAsia" w:ascii="宋体" w:hAnsi="宋体" w:eastAsia="宋体" w:cs="宋体"/>
          <w:sz w:val="24"/>
          <w:szCs w:val="24"/>
          <w:lang w:eastAsia="zh-CN"/>
        </w:rPr>
        <w:t>法，以期建立快速、准确而且低成本的的淀粉含量测定方法，为淀粉含量快速检测方法的研究提供参考。</w:t>
      </w:r>
      <w:bookmarkEnd w:id="6"/>
    </w:p>
    <w:p w14:paraId="6041D767">
      <w:pPr>
        <w:widowControl w:val="0"/>
        <w:kinsoku/>
        <w:autoSpaceDE/>
        <w:autoSpaceDN/>
        <w:spacing w:line="500" w:lineRule="exact"/>
        <w:ind w:firstLine="562" w:firstLineChars="200"/>
        <w:jc w:val="both"/>
        <w:textAlignment w:val="auto"/>
        <w:rPr>
          <w:rFonts w:ascii="Times New Roman" w:hAnsi="Times New Roman" w:eastAsia="仿宋_GB2312" w:cs="Times New Roman"/>
          <w:sz w:val="28"/>
          <w:szCs w:val="28"/>
          <w:lang w:eastAsia="zh-CN"/>
        </w:rPr>
      </w:pPr>
      <w:r>
        <w:rPr>
          <w:rFonts w:ascii="Times New Roman" w:hAnsi="Times New Roman" w:eastAsia="仿宋_GB2312" w:cs="Times New Roman"/>
          <w:b/>
          <w:sz w:val="28"/>
          <w:szCs w:val="28"/>
          <w:lang w:eastAsia="zh-CN"/>
        </w:rPr>
        <w:t>6.重大分歧意见的处理经过和依据</w:t>
      </w:r>
      <w:r>
        <w:rPr>
          <w:rFonts w:ascii="Times New Roman" w:hAnsi="Times New Roman" w:eastAsia="仿宋_GB2312" w:cs="Times New Roman"/>
          <w:sz w:val="28"/>
          <w:szCs w:val="28"/>
          <w:lang w:eastAsia="zh-CN"/>
        </w:rPr>
        <w:t>（主要适用于矛盾、分歧较大的意见，处理结果与处理依据的说明；如没有，写“无”）</w:t>
      </w:r>
    </w:p>
    <w:p w14:paraId="58F16AA0">
      <w:pPr>
        <w:widowControl w:val="0"/>
        <w:kinsoku/>
        <w:autoSpaceDE/>
        <w:autoSpaceDN/>
        <w:spacing w:line="500" w:lineRule="exact"/>
        <w:ind w:firstLine="480" w:firstLineChars="200"/>
        <w:jc w:val="both"/>
        <w:textAlignment w:val="auto"/>
        <w:rPr>
          <w:rFonts w:ascii="Times New Roman" w:hAnsi="Times New Roman" w:cs="Times New Roman"/>
          <w:sz w:val="24"/>
          <w:szCs w:val="24"/>
          <w:lang w:eastAsia="zh-CN"/>
        </w:rPr>
      </w:pPr>
      <w:r>
        <w:rPr>
          <w:rFonts w:ascii="Times New Roman" w:hAnsi="Times New Roman" w:eastAsia="宋体" w:cs="Times New Roman"/>
          <w:sz w:val="24"/>
          <w:szCs w:val="24"/>
          <w:lang w:eastAsia="zh-CN"/>
        </w:rPr>
        <w:t>无。</w:t>
      </w:r>
    </w:p>
    <w:p w14:paraId="40945EA8">
      <w:pPr>
        <w:widowControl w:val="0"/>
        <w:kinsoku/>
        <w:autoSpaceDE/>
        <w:autoSpaceDN/>
        <w:spacing w:line="500" w:lineRule="exact"/>
        <w:ind w:firstLine="562" w:firstLineChars="200"/>
        <w:jc w:val="both"/>
        <w:textAlignment w:val="auto"/>
        <w:rPr>
          <w:rFonts w:ascii="Times New Roman" w:hAnsi="Times New Roman" w:eastAsia="仿宋_GB2312" w:cs="Times New Roman"/>
          <w:color w:val="auto"/>
          <w:sz w:val="28"/>
          <w:szCs w:val="28"/>
          <w:lang w:eastAsia="zh-CN"/>
        </w:rPr>
      </w:pPr>
      <w:r>
        <w:rPr>
          <w:rFonts w:ascii="Times New Roman" w:hAnsi="Times New Roman" w:eastAsia="仿宋_GB2312" w:cs="Times New Roman"/>
          <w:b/>
          <w:color w:val="auto"/>
          <w:sz w:val="28"/>
          <w:szCs w:val="28"/>
          <w:lang w:eastAsia="zh-CN"/>
        </w:rPr>
        <w:t>7.贯彻标准的要求和措施建议</w:t>
      </w:r>
      <w:r>
        <w:rPr>
          <w:rFonts w:ascii="Times New Roman" w:hAnsi="Times New Roman" w:eastAsia="仿宋_GB2312" w:cs="Times New Roman"/>
          <w:color w:val="auto"/>
          <w:sz w:val="28"/>
          <w:szCs w:val="28"/>
          <w:lang w:eastAsia="zh-CN"/>
        </w:rPr>
        <w:t>（包括组织措施、技术措施、过渡办法等）</w:t>
      </w:r>
    </w:p>
    <w:p w14:paraId="17002767">
      <w:pPr>
        <w:widowControl w:val="0"/>
        <w:kinsoku/>
        <w:autoSpaceDE/>
        <w:autoSpaceDN/>
        <w:spacing w:line="500" w:lineRule="exact"/>
        <w:ind w:firstLine="480" w:firstLineChars="20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（1）首先应在实施前保证文本的充足供应，让每个使用者都能及时得到文本，这是保证标准贯彻实施的基础；</w:t>
      </w:r>
    </w:p>
    <w:p w14:paraId="7BF4621F">
      <w:pPr>
        <w:widowControl w:val="0"/>
        <w:kinsoku/>
        <w:autoSpaceDE/>
        <w:autoSpaceDN/>
        <w:spacing w:line="500" w:lineRule="exact"/>
        <w:ind w:firstLine="480" w:firstLineChars="20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（2）发布后，实施钱应将信息在媒体上广为宣传。</w:t>
      </w:r>
    </w:p>
    <w:p w14:paraId="696538F1">
      <w:pPr>
        <w:widowControl w:val="0"/>
        <w:kinsoku/>
        <w:autoSpaceDE/>
        <w:autoSpaceDN/>
        <w:spacing w:line="500" w:lineRule="exact"/>
        <w:ind w:firstLine="480" w:firstLineChars="20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（3）实施的过渡期宜定为3个月</w:t>
      </w:r>
      <w:r>
        <w:rPr>
          <w:rFonts w:hint="eastAsia" w:ascii="Times New Roman" w:hAnsi="Times New Roman" w:eastAsia="宋体" w:cs="Times New Roman"/>
          <w:sz w:val="24"/>
          <w:szCs w:val="24"/>
          <w:lang w:eastAsia="zh-CN"/>
        </w:rPr>
        <w:t>。</w:t>
      </w:r>
    </w:p>
    <w:p w14:paraId="6B467527">
      <w:pPr>
        <w:widowControl w:val="0"/>
        <w:kinsoku/>
        <w:autoSpaceDE/>
        <w:autoSpaceDN/>
        <w:spacing w:line="500" w:lineRule="exact"/>
        <w:ind w:firstLine="562" w:firstLineChars="200"/>
        <w:jc w:val="both"/>
        <w:textAlignment w:val="auto"/>
        <w:rPr>
          <w:rFonts w:ascii="Times New Roman" w:hAnsi="Times New Roman" w:eastAsia="仿宋_GB2312" w:cs="Times New Roman"/>
          <w:color w:val="auto"/>
          <w:sz w:val="28"/>
          <w:szCs w:val="28"/>
          <w:lang w:eastAsia="zh-CN"/>
        </w:rPr>
      </w:pPr>
      <w:r>
        <w:rPr>
          <w:rFonts w:ascii="Times New Roman" w:hAnsi="Times New Roman" w:eastAsia="仿宋_GB2312" w:cs="Times New Roman"/>
          <w:b/>
          <w:color w:val="auto"/>
          <w:sz w:val="28"/>
          <w:szCs w:val="28"/>
          <w:lang w:eastAsia="zh-CN"/>
        </w:rPr>
        <w:t>8．废止现行有关标准的建议</w:t>
      </w:r>
      <w:r>
        <w:rPr>
          <w:rFonts w:ascii="Times New Roman" w:hAnsi="Times New Roman" w:eastAsia="仿宋_GB2312" w:cs="Times New Roman"/>
          <w:color w:val="auto"/>
          <w:sz w:val="28"/>
          <w:szCs w:val="28"/>
          <w:lang w:eastAsia="zh-CN"/>
        </w:rPr>
        <w:t>（修订时，应说明新旧标准的替代关系；如制定，写“无”）</w:t>
      </w:r>
    </w:p>
    <w:p w14:paraId="09093FD3">
      <w:pPr>
        <w:widowControl w:val="0"/>
        <w:kinsoku/>
        <w:autoSpaceDE/>
        <w:autoSpaceDN/>
        <w:spacing w:line="500" w:lineRule="exact"/>
        <w:ind w:firstLine="480" w:firstLineChars="200"/>
        <w:jc w:val="both"/>
        <w:textAlignment w:val="auto"/>
        <w:rPr>
          <w:rFonts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无</w:t>
      </w:r>
      <w:r>
        <w:rPr>
          <w:rFonts w:ascii="Times New Roman" w:hAnsi="Times New Roman" w:eastAsia="宋体" w:cs="Times New Roman"/>
          <w:sz w:val="24"/>
          <w:szCs w:val="24"/>
          <w:lang w:eastAsia="zh-CN"/>
        </w:rPr>
        <w:t>。</w:t>
      </w:r>
    </w:p>
    <w:p w14:paraId="42E22F6F">
      <w:pPr>
        <w:widowControl w:val="0"/>
        <w:kinsoku/>
        <w:autoSpaceDE/>
        <w:autoSpaceDN/>
        <w:spacing w:line="500" w:lineRule="exact"/>
        <w:ind w:firstLine="562" w:firstLineChars="200"/>
        <w:jc w:val="both"/>
        <w:textAlignment w:val="auto"/>
        <w:rPr>
          <w:rFonts w:ascii="Times New Roman" w:hAnsi="Times New Roman" w:eastAsia="仿宋_GB2312" w:cs="Times New Roman"/>
          <w:color w:val="auto"/>
          <w:sz w:val="28"/>
          <w:szCs w:val="28"/>
          <w:lang w:eastAsia="zh-CN"/>
        </w:rPr>
      </w:pPr>
      <w:r>
        <w:rPr>
          <w:rFonts w:ascii="Times New Roman" w:hAnsi="Times New Roman" w:eastAsia="仿宋_GB2312" w:cs="Times New Roman"/>
          <w:b/>
          <w:color w:val="auto"/>
          <w:sz w:val="28"/>
          <w:szCs w:val="28"/>
          <w:lang w:eastAsia="zh-CN"/>
        </w:rPr>
        <w:t>9.其他应予说明的事项</w:t>
      </w:r>
      <w:r>
        <w:rPr>
          <w:rFonts w:ascii="Times New Roman" w:hAnsi="Times New Roman" w:eastAsia="仿宋_GB2312" w:cs="Times New Roman"/>
          <w:color w:val="auto"/>
          <w:sz w:val="28"/>
          <w:szCs w:val="28"/>
          <w:lang w:eastAsia="zh-CN"/>
        </w:rPr>
        <w:t>（陈述是否涉及专利及有关说明、本标准编制阶段与原计划有差异情况说明及原因等）</w:t>
      </w:r>
    </w:p>
    <w:p w14:paraId="7A428E7C">
      <w:pPr>
        <w:pStyle w:val="9"/>
        <w:spacing w:line="360" w:lineRule="auto"/>
        <w:ind w:firstLine="480" w:firstLineChars="200"/>
        <w:rPr>
          <w:rFonts w:ascii="Times New Roman" w:hAnsi="Times New Roman" w:cs="Times New Roman"/>
          <w:sz w:val="24"/>
          <w:szCs w:val="24"/>
        </w:rPr>
      </w:pPr>
      <w:r>
        <w:rPr>
          <w:rFonts w:ascii="Times New Roman" w:hAnsi="Times New Roman" w:cs="Times New Roman"/>
          <w:sz w:val="24"/>
          <w:szCs w:val="24"/>
        </w:rPr>
        <w:t>1. 该标准在执行期间的解释权为河南工业大学。</w:t>
      </w:r>
    </w:p>
    <w:p w14:paraId="66613117">
      <w:pPr>
        <w:spacing w:line="360" w:lineRule="auto"/>
        <w:ind w:firstLine="480" w:firstLineChars="200"/>
        <w:rPr>
          <w:rFonts w:ascii="Times New Roman" w:hAnsi="Times New Roman" w:cs="Times New Roman"/>
          <w:kern w:val="2"/>
          <w:sz w:val="24"/>
          <w:szCs w:val="24"/>
          <w:lang w:eastAsia="zh-CN"/>
        </w:rPr>
      </w:pPr>
      <w:r>
        <w:rPr>
          <w:rFonts w:ascii="Times New Roman" w:hAnsi="Times New Roman" w:cs="Times New Roman"/>
          <w:kern w:val="2"/>
          <w:sz w:val="24"/>
          <w:szCs w:val="24"/>
          <w:lang w:eastAsia="zh-CN"/>
        </w:rPr>
        <w:t xml:space="preserve">2. </w:t>
      </w:r>
      <w:r>
        <w:rPr>
          <w:rFonts w:hint="eastAsia" w:ascii="宋体" w:hAnsi="宋体" w:eastAsia="宋体" w:cs="宋体"/>
          <w:kern w:val="2"/>
          <w:sz w:val="24"/>
          <w:szCs w:val="24"/>
          <w:lang w:eastAsia="zh-CN"/>
        </w:rPr>
        <w:t>标准起草团队已使用该方法测定淀粉含量发表期刊论文</w:t>
      </w:r>
      <w:r>
        <w:rPr>
          <w:rFonts w:ascii="Times New Roman" w:hAnsi="Times New Roman" w:cs="Times New Roman"/>
          <w:kern w:val="2"/>
          <w:sz w:val="24"/>
          <w:szCs w:val="24"/>
          <w:lang w:eastAsia="zh-CN"/>
        </w:rPr>
        <w:t>2</w:t>
      </w:r>
      <w:r>
        <w:rPr>
          <w:rFonts w:hint="eastAsia" w:ascii="宋体" w:hAnsi="宋体" w:eastAsia="宋体" w:cs="宋体"/>
          <w:kern w:val="2"/>
          <w:sz w:val="24"/>
          <w:szCs w:val="24"/>
          <w:lang w:eastAsia="zh-CN"/>
        </w:rPr>
        <w:t>篇，学位论文</w:t>
      </w:r>
      <w:r>
        <w:rPr>
          <w:rFonts w:ascii="Times New Roman" w:hAnsi="Times New Roman" w:cs="Times New Roman"/>
          <w:kern w:val="2"/>
          <w:sz w:val="24"/>
          <w:szCs w:val="24"/>
          <w:lang w:eastAsia="zh-CN"/>
        </w:rPr>
        <w:t>2</w:t>
      </w:r>
      <w:r>
        <w:rPr>
          <w:rFonts w:hint="eastAsia" w:ascii="宋体" w:hAnsi="宋体" w:eastAsia="宋体" w:cs="宋体"/>
          <w:kern w:val="2"/>
          <w:sz w:val="24"/>
          <w:szCs w:val="24"/>
          <w:lang w:eastAsia="zh-CN"/>
        </w:rPr>
        <w:t>篇：</w:t>
      </w:r>
    </w:p>
    <w:tbl>
      <w:tblPr>
        <w:tblStyle w:val="5"/>
        <w:tblW w:w="9524" w:type="dxa"/>
        <w:jc w:val="cente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1900"/>
        <w:gridCol w:w="3170"/>
        <w:gridCol w:w="1984"/>
        <w:gridCol w:w="1194"/>
        <w:gridCol w:w="1276"/>
      </w:tblGrid>
      <w:tr w14:paraId="5F6D107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1900" w:type="dxa"/>
            <w:vAlign w:val="center"/>
          </w:tcPr>
          <w:p w14:paraId="39A53DE9">
            <w:pPr>
              <w:spacing w:line="276" w:lineRule="auto"/>
              <w:jc w:val="center"/>
              <w:rPr>
                <w:rFonts w:ascii="Times New Roman" w:hAnsi="Times New Roman" w:cs="Times New Roman"/>
                <w:kern w:val="2"/>
                <w:sz w:val="24"/>
                <w:szCs w:val="24"/>
              </w:rPr>
            </w:pPr>
            <w:r>
              <w:rPr>
                <w:rFonts w:hint="eastAsia" w:ascii="宋体" w:hAnsi="宋体" w:eastAsia="宋体" w:cs="宋体"/>
                <w:kern w:val="2"/>
                <w:sz w:val="24"/>
                <w:szCs w:val="24"/>
              </w:rPr>
              <w:t>作者</w:t>
            </w:r>
          </w:p>
        </w:tc>
        <w:tc>
          <w:tcPr>
            <w:tcW w:w="3170" w:type="dxa"/>
            <w:vAlign w:val="center"/>
          </w:tcPr>
          <w:p w14:paraId="1344E578">
            <w:pPr>
              <w:spacing w:line="276" w:lineRule="auto"/>
              <w:jc w:val="center"/>
              <w:rPr>
                <w:rFonts w:ascii="Times New Roman" w:hAnsi="Times New Roman" w:cs="Times New Roman"/>
                <w:kern w:val="2"/>
                <w:sz w:val="24"/>
                <w:szCs w:val="24"/>
              </w:rPr>
            </w:pPr>
            <w:r>
              <w:rPr>
                <w:rFonts w:hint="eastAsia" w:ascii="宋体" w:hAnsi="宋体" w:eastAsia="宋体" w:cs="宋体"/>
                <w:kern w:val="2"/>
                <w:sz w:val="24"/>
                <w:szCs w:val="24"/>
              </w:rPr>
              <w:t>题目</w:t>
            </w:r>
          </w:p>
        </w:tc>
        <w:tc>
          <w:tcPr>
            <w:tcW w:w="1984" w:type="dxa"/>
            <w:vAlign w:val="center"/>
          </w:tcPr>
          <w:p w14:paraId="5523ED8E">
            <w:pPr>
              <w:spacing w:line="276" w:lineRule="auto"/>
              <w:jc w:val="center"/>
              <w:rPr>
                <w:rFonts w:ascii="Times New Roman" w:hAnsi="Times New Roman" w:cs="Times New Roman"/>
                <w:kern w:val="2"/>
                <w:sz w:val="24"/>
                <w:szCs w:val="24"/>
              </w:rPr>
            </w:pPr>
            <w:r>
              <w:rPr>
                <w:rFonts w:hint="eastAsia" w:ascii="宋体" w:hAnsi="宋体" w:eastAsia="宋体" w:cs="宋体"/>
                <w:kern w:val="2"/>
                <w:sz w:val="24"/>
                <w:szCs w:val="24"/>
              </w:rPr>
              <w:t>期刊</w:t>
            </w:r>
          </w:p>
        </w:tc>
        <w:tc>
          <w:tcPr>
            <w:tcW w:w="1194" w:type="dxa"/>
            <w:vAlign w:val="center"/>
          </w:tcPr>
          <w:p w14:paraId="5E5D4CEE">
            <w:pPr>
              <w:spacing w:line="276" w:lineRule="auto"/>
              <w:jc w:val="center"/>
              <w:rPr>
                <w:rFonts w:ascii="Times New Roman" w:hAnsi="Times New Roman" w:cs="Times New Roman"/>
                <w:kern w:val="2"/>
                <w:sz w:val="24"/>
                <w:szCs w:val="24"/>
              </w:rPr>
            </w:pPr>
            <w:r>
              <w:rPr>
                <w:rFonts w:hint="eastAsia" w:ascii="宋体" w:hAnsi="宋体" w:eastAsia="宋体" w:cs="宋体"/>
                <w:kern w:val="2"/>
                <w:sz w:val="24"/>
                <w:szCs w:val="24"/>
              </w:rPr>
              <w:t>文献类型</w:t>
            </w:r>
          </w:p>
        </w:tc>
        <w:tc>
          <w:tcPr>
            <w:tcW w:w="1276" w:type="dxa"/>
            <w:vAlign w:val="center"/>
          </w:tcPr>
          <w:p w14:paraId="3C5D3954">
            <w:pPr>
              <w:spacing w:line="276" w:lineRule="auto"/>
              <w:jc w:val="center"/>
              <w:rPr>
                <w:rFonts w:ascii="Times New Roman" w:hAnsi="Times New Roman" w:cs="Times New Roman"/>
                <w:kern w:val="2"/>
                <w:sz w:val="24"/>
                <w:szCs w:val="24"/>
              </w:rPr>
            </w:pPr>
            <w:r>
              <w:rPr>
                <w:rFonts w:hint="eastAsia" w:ascii="宋体" w:hAnsi="宋体" w:eastAsia="宋体" w:cs="宋体"/>
                <w:kern w:val="2"/>
                <w:sz w:val="24"/>
                <w:szCs w:val="24"/>
              </w:rPr>
              <w:t>引用次数</w:t>
            </w:r>
            <w:r>
              <w:rPr>
                <w:rFonts w:ascii="Times New Roman" w:hAnsi="Times New Roman" w:cs="Times New Roman"/>
                <w:kern w:val="2"/>
                <w:sz w:val="24"/>
                <w:szCs w:val="24"/>
                <w:vertAlign w:val="superscript"/>
              </w:rPr>
              <w:t>a</w:t>
            </w:r>
          </w:p>
        </w:tc>
      </w:tr>
      <w:tr w14:paraId="7B1D932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1900" w:type="dxa"/>
            <w:vAlign w:val="center"/>
          </w:tcPr>
          <w:p w14:paraId="761CE9CF">
            <w:pPr>
              <w:spacing w:line="276" w:lineRule="auto"/>
              <w:jc w:val="center"/>
              <w:rPr>
                <w:rFonts w:ascii="Times New Roman" w:hAnsi="Times New Roman" w:cs="Times New Roman"/>
                <w:kern w:val="2"/>
                <w:sz w:val="24"/>
                <w:szCs w:val="24"/>
                <w:lang w:eastAsia="zh-CN"/>
              </w:rPr>
            </w:pPr>
            <w:r>
              <w:rPr>
                <w:rFonts w:hint="eastAsia" w:ascii="宋体" w:hAnsi="宋体" w:eastAsia="宋体" w:cs="宋体"/>
                <w:kern w:val="2"/>
                <w:sz w:val="24"/>
                <w:szCs w:val="24"/>
                <w:lang w:eastAsia="zh-CN"/>
              </w:rPr>
              <w:t>孔德超，赵仁勇，王新伟，宋斌</w:t>
            </w:r>
          </w:p>
        </w:tc>
        <w:tc>
          <w:tcPr>
            <w:tcW w:w="3170" w:type="dxa"/>
            <w:vAlign w:val="center"/>
          </w:tcPr>
          <w:p w14:paraId="4E42A8D4">
            <w:pPr>
              <w:spacing w:line="276" w:lineRule="auto"/>
              <w:jc w:val="center"/>
              <w:rPr>
                <w:rFonts w:ascii="Times New Roman" w:hAnsi="Times New Roman" w:cs="Times New Roman"/>
                <w:kern w:val="2"/>
                <w:sz w:val="24"/>
                <w:szCs w:val="24"/>
                <w:lang w:eastAsia="zh-CN"/>
              </w:rPr>
            </w:pPr>
            <w:r>
              <w:rPr>
                <w:rFonts w:hint="eastAsia" w:ascii="宋体" w:hAnsi="宋体" w:eastAsia="宋体" w:cs="宋体"/>
                <w:kern w:val="2"/>
                <w:sz w:val="24"/>
                <w:szCs w:val="24"/>
                <w:lang w:eastAsia="zh-CN"/>
              </w:rPr>
              <w:t>采用不同标准方法测定玉米样品中淀粉含量的对比研究</w:t>
            </w:r>
          </w:p>
        </w:tc>
        <w:tc>
          <w:tcPr>
            <w:tcW w:w="1984" w:type="dxa"/>
            <w:vAlign w:val="center"/>
          </w:tcPr>
          <w:p w14:paraId="6E53A5F4">
            <w:pPr>
              <w:spacing w:line="276" w:lineRule="auto"/>
              <w:jc w:val="center"/>
              <w:rPr>
                <w:rFonts w:ascii="Times New Roman" w:hAnsi="Times New Roman" w:cs="Times New Roman"/>
                <w:kern w:val="2"/>
                <w:sz w:val="24"/>
                <w:szCs w:val="24"/>
                <w:lang w:eastAsia="zh-CN"/>
              </w:rPr>
            </w:pPr>
            <w:r>
              <w:rPr>
                <w:rFonts w:hint="eastAsia" w:ascii="宋体" w:hAnsi="宋体" w:eastAsia="宋体" w:cs="宋体"/>
                <w:kern w:val="2"/>
                <w:sz w:val="24"/>
                <w:szCs w:val="24"/>
                <w:lang w:eastAsia="zh-CN"/>
              </w:rPr>
              <w:t>河南工业大学学报（自然科学版）</w:t>
            </w:r>
          </w:p>
        </w:tc>
        <w:tc>
          <w:tcPr>
            <w:tcW w:w="1194" w:type="dxa"/>
            <w:vAlign w:val="center"/>
          </w:tcPr>
          <w:p w14:paraId="1A1272C9">
            <w:pPr>
              <w:spacing w:line="276" w:lineRule="auto"/>
              <w:jc w:val="center"/>
              <w:rPr>
                <w:rFonts w:ascii="Times New Roman" w:hAnsi="Times New Roman" w:cs="Times New Roman"/>
                <w:kern w:val="2"/>
                <w:sz w:val="24"/>
                <w:szCs w:val="24"/>
              </w:rPr>
            </w:pPr>
            <w:r>
              <w:rPr>
                <w:rFonts w:hint="eastAsia" w:ascii="宋体" w:hAnsi="宋体" w:eastAsia="宋体" w:cs="宋体"/>
                <w:kern w:val="2"/>
                <w:sz w:val="24"/>
                <w:szCs w:val="24"/>
              </w:rPr>
              <w:t>期刊论文</w:t>
            </w:r>
          </w:p>
        </w:tc>
        <w:tc>
          <w:tcPr>
            <w:tcW w:w="1276" w:type="dxa"/>
            <w:vAlign w:val="center"/>
          </w:tcPr>
          <w:p w14:paraId="50CA4749">
            <w:pPr>
              <w:spacing w:line="276" w:lineRule="auto"/>
              <w:jc w:val="center"/>
              <w:rPr>
                <w:rFonts w:ascii="Times New Roman" w:hAnsi="Times New Roman" w:cs="Times New Roman"/>
                <w:kern w:val="2"/>
                <w:sz w:val="24"/>
                <w:szCs w:val="24"/>
              </w:rPr>
            </w:pPr>
            <w:r>
              <w:rPr>
                <w:rFonts w:ascii="Times New Roman" w:hAnsi="Times New Roman" w:cs="Times New Roman"/>
                <w:kern w:val="2"/>
                <w:sz w:val="24"/>
                <w:szCs w:val="24"/>
              </w:rPr>
              <w:t>10</w:t>
            </w:r>
          </w:p>
        </w:tc>
      </w:tr>
      <w:tr w14:paraId="3924711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1900" w:type="dxa"/>
            <w:vAlign w:val="center"/>
          </w:tcPr>
          <w:p w14:paraId="38A45FD8">
            <w:pPr>
              <w:spacing w:line="276" w:lineRule="auto"/>
              <w:jc w:val="center"/>
              <w:rPr>
                <w:rFonts w:ascii="Times New Roman" w:hAnsi="Times New Roman" w:cs="Times New Roman"/>
                <w:kern w:val="2"/>
                <w:sz w:val="24"/>
                <w:szCs w:val="24"/>
              </w:rPr>
            </w:pPr>
            <w:r>
              <w:rPr>
                <w:rFonts w:hint="eastAsia" w:ascii="宋体" w:hAnsi="宋体" w:eastAsia="宋体" w:cs="宋体"/>
                <w:kern w:val="2"/>
                <w:sz w:val="24"/>
                <w:szCs w:val="24"/>
              </w:rPr>
              <w:t>叶俊芳，赵仁勇</w:t>
            </w:r>
          </w:p>
        </w:tc>
        <w:tc>
          <w:tcPr>
            <w:tcW w:w="3170" w:type="dxa"/>
            <w:vAlign w:val="center"/>
          </w:tcPr>
          <w:p w14:paraId="14FDBF5B">
            <w:pPr>
              <w:spacing w:line="276" w:lineRule="auto"/>
              <w:jc w:val="center"/>
              <w:rPr>
                <w:rFonts w:ascii="Times New Roman" w:hAnsi="Times New Roman" w:cs="Times New Roman"/>
                <w:kern w:val="2"/>
                <w:sz w:val="24"/>
                <w:szCs w:val="24"/>
                <w:lang w:eastAsia="zh-CN"/>
              </w:rPr>
            </w:pPr>
            <w:r>
              <w:rPr>
                <w:rFonts w:hint="eastAsia" w:ascii="宋体" w:hAnsi="宋体" w:eastAsia="宋体" w:cs="宋体"/>
                <w:kern w:val="2"/>
                <w:sz w:val="24"/>
                <w:szCs w:val="24"/>
                <w:lang w:eastAsia="zh-CN"/>
              </w:rPr>
              <w:t>玉米生产燃料乙醇的发酵品质评价</w:t>
            </w:r>
          </w:p>
        </w:tc>
        <w:tc>
          <w:tcPr>
            <w:tcW w:w="1984" w:type="dxa"/>
            <w:vAlign w:val="center"/>
          </w:tcPr>
          <w:p w14:paraId="65A2D063">
            <w:pPr>
              <w:spacing w:line="276" w:lineRule="auto"/>
              <w:jc w:val="center"/>
              <w:rPr>
                <w:rFonts w:ascii="Times New Roman" w:hAnsi="Times New Roman" w:cs="Times New Roman"/>
                <w:kern w:val="2"/>
                <w:sz w:val="24"/>
                <w:szCs w:val="24"/>
                <w:lang w:eastAsia="zh-CN"/>
              </w:rPr>
            </w:pPr>
            <w:r>
              <w:rPr>
                <w:rFonts w:hint="eastAsia" w:ascii="宋体" w:hAnsi="宋体" w:eastAsia="宋体" w:cs="宋体"/>
                <w:kern w:val="2"/>
                <w:sz w:val="24"/>
                <w:szCs w:val="24"/>
                <w:lang w:eastAsia="zh-CN"/>
              </w:rPr>
              <w:t>河南工业大学学报（自然科学版）</w:t>
            </w:r>
          </w:p>
        </w:tc>
        <w:tc>
          <w:tcPr>
            <w:tcW w:w="1194" w:type="dxa"/>
            <w:vAlign w:val="center"/>
          </w:tcPr>
          <w:p w14:paraId="32214700">
            <w:pPr>
              <w:spacing w:line="276" w:lineRule="auto"/>
              <w:jc w:val="center"/>
              <w:rPr>
                <w:rFonts w:ascii="Times New Roman" w:hAnsi="Times New Roman" w:cs="Times New Roman"/>
                <w:kern w:val="2"/>
                <w:sz w:val="24"/>
                <w:szCs w:val="24"/>
              </w:rPr>
            </w:pPr>
            <w:r>
              <w:rPr>
                <w:rFonts w:hint="eastAsia" w:ascii="宋体" w:hAnsi="宋体" w:eastAsia="宋体" w:cs="宋体"/>
                <w:kern w:val="2"/>
                <w:sz w:val="24"/>
                <w:szCs w:val="24"/>
              </w:rPr>
              <w:t>期刊论文</w:t>
            </w:r>
          </w:p>
        </w:tc>
        <w:tc>
          <w:tcPr>
            <w:tcW w:w="1276" w:type="dxa"/>
            <w:vAlign w:val="center"/>
          </w:tcPr>
          <w:p w14:paraId="41AD8718">
            <w:pPr>
              <w:spacing w:line="276" w:lineRule="auto"/>
              <w:jc w:val="center"/>
              <w:rPr>
                <w:rFonts w:ascii="Times New Roman" w:hAnsi="Times New Roman" w:cs="Times New Roman"/>
                <w:kern w:val="2"/>
                <w:sz w:val="24"/>
                <w:szCs w:val="24"/>
              </w:rPr>
            </w:pPr>
            <w:r>
              <w:rPr>
                <w:rFonts w:ascii="Times New Roman" w:hAnsi="Times New Roman" w:cs="Times New Roman"/>
                <w:kern w:val="2"/>
                <w:sz w:val="24"/>
                <w:szCs w:val="24"/>
              </w:rPr>
              <w:t>6</w:t>
            </w:r>
          </w:p>
        </w:tc>
      </w:tr>
      <w:tr w14:paraId="463DE192">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1900" w:type="dxa"/>
            <w:vAlign w:val="center"/>
          </w:tcPr>
          <w:p w14:paraId="46147E17">
            <w:pPr>
              <w:spacing w:line="276" w:lineRule="auto"/>
              <w:jc w:val="center"/>
              <w:rPr>
                <w:rFonts w:ascii="Times New Roman" w:hAnsi="Times New Roman" w:cs="Times New Roman"/>
                <w:kern w:val="2"/>
                <w:sz w:val="24"/>
                <w:szCs w:val="24"/>
                <w:lang w:eastAsia="zh-CN"/>
              </w:rPr>
            </w:pPr>
            <w:r>
              <w:rPr>
                <w:rFonts w:hint="eastAsia" w:ascii="宋体" w:hAnsi="宋体" w:eastAsia="宋体" w:cs="宋体"/>
                <w:kern w:val="2"/>
                <w:sz w:val="24"/>
                <w:szCs w:val="24"/>
                <w:lang w:eastAsia="zh-CN"/>
              </w:rPr>
              <w:t>田娟丽（导师：赵仁勇）</w:t>
            </w:r>
          </w:p>
        </w:tc>
        <w:tc>
          <w:tcPr>
            <w:tcW w:w="3170" w:type="dxa"/>
            <w:vAlign w:val="center"/>
          </w:tcPr>
          <w:p w14:paraId="1B360B4E">
            <w:pPr>
              <w:spacing w:line="276" w:lineRule="auto"/>
              <w:jc w:val="center"/>
              <w:rPr>
                <w:rFonts w:ascii="Times New Roman" w:hAnsi="Times New Roman" w:cs="Times New Roman"/>
                <w:kern w:val="2"/>
                <w:sz w:val="24"/>
                <w:szCs w:val="24"/>
                <w:lang w:eastAsia="zh-CN"/>
              </w:rPr>
            </w:pPr>
            <w:r>
              <w:rPr>
                <w:rFonts w:hint="eastAsia" w:ascii="宋体" w:hAnsi="宋体" w:eastAsia="宋体" w:cs="宋体"/>
                <w:kern w:val="2"/>
                <w:sz w:val="24"/>
                <w:szCs w:val="24"/>
                <w:lang w:eastAsia="zh-CN"/>
              </w:rPr>
              <w:t>小麦加工谷朊粉的适用性评价</w:t>
            </w:r>
          </w:p>
        </w:tc>
        <w:tc>
          <w:tcPr>
            <w:tcW w:w="1984" w:type="dxa"/>
            <w:vAlign w:val="center"/>
          </w:tcPr>
          <w:p w14:paraId="035C65BD">
            <w:pPr>
              <w:spacing w:line="276" w:lineRule="auto"/>
              <w:ind w:firstLine="480" w:firstLineChars="200"/>
              <w:jc w:val="center"/>
              <w:rPr>
                <w:rFonts w:ascii="Times New Roman" w:hAnsi="Times New Roman" w:cs="Times New Roman"/>
                <w:kern w:val="2"/>
                <w:sz w:val="24"/>
                <w:szCs w:val="24"/>
                <w:lang w:eastAsia="zh-CN"/>
              </w:rPr>
            </w:pPr>
          </w:p>
        </w:tc>
        <w:tc>
          <w:tcPr>
            <w:tcW w:w="1194" w:type="dxa"/>
            <w:vAlign w:val="center"/>
          </w:tcPr>
          <w:p w14:paraId="0AB7B232">
            <w:pPr>
              <w:spacing w:line="276" w:lineRule="auto"/>
              <w:jc w:val="center"/>
              <w:rPr>
                <w:rFonts w:ascii="Times New Roman" w:hAnsi="Times New Roman" w:cs="Times New Roman"/>
                <w:kern w:val="2"/>
                <w:sz w:val="24"/>
                <w:szCs w:val="24"/>
              </w:rPr>
            </w:pPr>
            <w:r>
              <w:rPr>
                <w:rFonts w:hint="eastAsia" w:ascii="宋体" w:hAnsi="宋体" w:eastAsia="宋体" w:cs="宋体"/>
                <w:kern w:val="2"/>
                <w:sz w:val="24"/>
                <w:szCs w:val="24"/>
              </w:rPr>
              <w:t>学位论文</w:t>
            </w:r>
          </w:p>
        </w:tc>
        <w:tc>
          <w:tcPr>
            <w:tcW w:w="1276" w:type="dxa"/>
            <w:vAlign w:val="center"/>
          </w:tcPr>
          <w:p w14:paraId="443BD3EC">
            <w:pPr>
              <w:spacing w:line="276" w:lineRule="auto"/>
              <w:jc w:val="center"/>
              <w:rPr>
                <w:rFonts w:ascii="Times New Roman" w:hAnsi="Times New Roman" w:cs="Times New Roman"/>
                <w:kern w:val="2"/>
                <w:sz w:val="24"/>
                <w:szCs w:val="24"/>
              </w:rPr>
            </w:pPr>
            <w:r>
              <w:rPr>
                <w:rFonts w:ascii="Times New Roman" w:hAnsi="Times New Roman" w:cs="Times New Roman"/>
                <w:kern w:val="2"/>
                <w:sz w:val="24"/>
                <w:szCs w:val="24"/>
              </w:rPr>
              <w:t>8</w:t>
            </w:r>
          </w:p>
        </w:tc>
      </w:tr>
      <w:tr w14:paraId="4E523AC7">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jc w:val="center"/>
        </w:trPr>
        <w:tc>
          <w:tcPr>
            <w:tcW w:w="1900" w:type="dxa"/>
            <w:vAlign w:val="center"/>
          </w:tcPr>
          <w:p w14:paraId="4F0379E7">
            <w:pPr>
              <w:spacing w:line="276" w:lineRule="auto"/>
              <w:jc w:val="center"/>
              <w:rPr>
                <w:rFonts w:ascii="Times New Roman" w:hAnsi="Times New Roman" w:cs="Times New Roman"/>
                <w:kern w:val="2"/>
                <w:sz w:val="24"/>
                <w:szCs w:val="24"/>
                <w:lang w:eastAsia="zh-CN"/>
              </w:rPr>
            </w:pPr>
            <w:r>
              <w:rPr>
                <w:rFonts w:hint="eastAsia" w:ascii="宋体" w:hAnsi="宋体" w:eastAsia="宋体" w:cs="宋体"/>
                <w:kern w:val="2"/>
                <w:sz w:val="24"/>
                <w:szCs w:val="24"/>
                <w:lang w:eastAsia="zh-CN"/>
              </w:rPr>
              <w:t>张晓双（导师：赵仁勇）</w:t>
            </w:r>
          </w:p>
        </w:tc>
        <w:tc>
          <w:tcPr>
            <w:tcW w:w="3170" w:type="dxa"/>
            <w:vAlign w:val="center"/>
          </w:tcPr>
          <w:p w14:paraId="536860EB">
            <w:pPr>
              <w:spacing w:line="276" w:lineRule="auto"/>
              <w:jc w:val="center"/>
              <w:rPr>
                <w:rFonts w:ascii="Times New Roman" w:hAnsi="Times New Roman" w:cs="Times New Roman"/>
                <w:kern w:val="2"/>
                <w:sz w:val="24"/>
                <w:szCs w:val="24"/>
                <w:lang w:eastAsia="zh-CN"/>
              </w:rPr>
            </w:pPr>
            <w:r>
              <w:rPr>
                <w:rFonts w:hint="eastAsia" w:ascii="宋体" w:hAnsi="宋体" w:eastAsia="宋体" w:cs="宋体"/>
                <w:kern w:val="2"/>
                <w:sz w:val="24"/>
                <w:szCs w:val="24"/>
                <w:lang w:eastAsia="zh-CN"/>
              </w:rPr>
              <w:t>甘薯生产燃料乙醇的发酵品质评价研究</w:t>
            </w:r>
          </w:p>
        </w:tc>
        <w:tc>
          <w:tcPr>
            <w:tcW w:w="1984" w:type="dxa"/>
            <w:vAlign w:val="center"/>
          </w:tcPr>
          <w:p w14:paraId="665AF494">
            <w:pPr>
              <w:spacing w:line="276" w:lineRule="auto"/>
              <w:ind w:firstLine="480" w:firstLineChars="200"/>
              <w:jc w:val="center"/>
              <w:rPr>
                <w:rFonts w:ascii="Times New Roman" w:hAnsi="Times New Roman" w:cs="Times New Roman"/>
                <w:kern w:val="2"/>
                <w:sz w:val="24"/>
                <w:szCs w:val="24"/>
                <w:lang w:eastAsia="zh-CN"/>
              </w:rPr>
            </w:pPr>
          </w:p>
        </w:tc>
        <w:tc>
          <w:tcPr>
            <w:tcW w:w="1194" w:type="dxa"/>
            <w:vAlign w:val="center"/>
          </w:tcPr>
          <w:p w14:paraId="4A65D078">
            <w:pPr>
              <w:spacing w:line="276" w:lineRule="auto"/>
              <w:jc w:val="center"/>
              <w:rPr>
                <w:rFonts w:ascii="Times New Roman" w:hAnsi="Times New Roman" w:cs="Times New Roman"/>
                <w:kern w:val="2"/>
                <w:sz w:val="24"/>
                <w:szCs w:val="24"/>
              </w:rPr>
            </w:pPr>
            <w:r>
              <w:rPr>
                <w:rFonts w:hint="eastAsia" w:ascii="宋体" w:hAnsi="宋体" w:eastAsia="宋体" w:cs="宋体"/>
                <w:kern w:val="2"/>
                <w:sz w:val="24"/>
                <w:szCs w:val="24"/>
              </w:rPr>
              <w:t>学位论文</w:t>
            </w:r>
          </w:p>
        </w:tc>
        <w:tc>
          <w:tcPr>
            <w:tcW w:w="1276" w:type="dxa"/>
            <w:vAlign w:val="center"/>
          </w:tcPr>
          <w:p w14:paraId="3EFB6B5A">
            <w:pPr>
              <w:spacing w:line="276" w:lineRule="auto"/>
              <w:jc w:val="center"/>
              <w:rPr>
                <w:rFonts w:ascii="Times New Roman" w:hAnsi="Times New Roman" w:cs="Times New Roman"/>
                <w:kern w:val="2"/>
                <w:sz w:val="24"/>
                <w:szCs w:val="24"/>
              </w:rPr>
            </w:pPr>
            <w:r>
              <w:rPr>
                <w:rFonts w:ascii="Times New Roman" w:hAnsi="Times New Roman" w:cs="Times New Roman"/>
                <w:kern w:val="2"/>
                <w:sz w:val="24"/>
                <w:szCs w:val="24"/>
              </w:rPr>
              <w:t>2</w:t>
            </w:r>
          </w:p>
        </w:tc>
      </w:tr>
    </w:tbl>
    <w:p w14:paraId="43A5D163">
      <w:pPr>
        <w:spacing w:line="360" w:lineRule="auto"/>
        <w:ind w:firstLine="560" w:firstLineChars="200"/>
        <w:rPr>
          <w:rFonts w:ascii="Times New Roman" w:hAnsi="Times New Roman" w:cs="Times New Roman"/>
          <w:kern w:val="2"/>
          <w:sz w:val="22"/>
          <w:szCs w:val="22"/>
          <w:lang w:eastAsia="zh-CN"/>
        </w:rPr>
      </w:pPr>
      <w:r>
        <w:rPr>
          <w:rFonts w:ascii="Times New Roman" w:hAnsi="Times New Roman" w:cs="Times New Roman"/>
          <w:kern w:val="2"/>
          <w:sz w:val="28"/>
          <w:szCs w:val="28"/>
          <w:vertAlign w:val="superscript"/>
          <w:lang w:eastAsia="zh-CN"/>
        </w:rPr>
        <w:t>a</w:t>
      </w:r>
      <w:r>
        <w:rPr>
          <w:rFonts w:ascii="Times New Roman" w:hAnsi="Times New Roman" w:cs="Times New Roman"/>
          <w:kern w:val="2"/>
          <w:sz w:val="22"/>
          <w:szCs w:val="22"/>
          <w:lang w:eastAsia="zh-CN"/>
        </w:rPr>
        <w:t>.</w:t>
      </w:r>
      <w:r>
        <w:rPr>
          <w:rFonts w:hint="eastAsia" w:ascii="宋体" w:hAnsi="宋体" w:eastAsia="宋体" w:cs="宋体"/>
          <w:kern w:val="2"/>
          <w:sz w:val="22"/>
          <w:szCs w:val="22"/>
          <w:lang w:eastAsia="zh-CN"/>
        </w:rPr>
        <w:t>引用次数统计数据来源于知网</w:t>
      </w:r>
    </w:p>
    <w:p w14:paraId="4B5EAEC9">
      <w:pPr>
        <w:ind w:firstLine="480" w:firstLineChars="200"/>
        <w:rPr>
          <w:rFonts w:ascii="Times New Roman" w:hAnsi="Times New Roman" w:cs="Times New Roman"/>
          <w:kern w:val="2"/>
          <w:sz w:val="24"/>
          <w:szCs w:val="24"/>
        </w:rPr>
      </w:pPr>
      <w:r>
        <w:rPr>
          <w:rFonts w:hint="eastAsia" w:ascii="宋体" w:hAnsi="宋体" w:eastAsia="宋体" w:cs="宋体"/>
          <w:kern w:val="2"/>
          <w:sz w:val="24"/>
          <w:szCs w:val="24"/>
        </w:rPr>
        <w:t>知网引用次数截图</w:t>
      </w:r>
    </w:p>
    <w:p w14:paraId="0A643D79">
      <w:pPr>
        <w:spacing w:line="360" w:lineRule="auto"/>
        <w:rPr>
          <w:rFonts w:ascii="Times New Roman" w:hAnsi="Times New Roman" w:cs="Times New Roman"/>
          <w:kern w:val="2"/>
          <w:sz w:val="24"/>
          <w:szCs w:val="24"/>
        </w:rPr>
      </w:pPr>
      <w:r>
        <w:rPr>
          <w:rFonts w:ascii="Times New Roman" w:hAnsi="Times New Roman" w:cs="Times New Roman"/>
          <w:kern w:val="2"/>
          <w:sz w:val="22"/>
          <w:szCs w:val="22"/>
        </w:rPr>
        <w:drawing>
          <wp:inline distT="0" distB="0" distL="0" distR="0">
            <wp:extent cx="5782945" cy="611505"/>
            <wp:effectExtent l="0" t="0" r="0" b="0"/>
            <wp:docPr id="5537443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744392" name="图片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783400" cy="612000"/>
                    </a:xfrm>
                    <a:prstGeom prst="rect">
                      <a:avLst/>
                    </a:prstGeom>
                    <a:noFill/>
                    <a:ln>
                      <a:noFill/>
                    </a:ln>
                  </pic:spPr>
                </pic:pic>
              </a:graphicData>
            </a:graphic>
          </wp:inline>
        </w:drawing>
      </w:r>
      <w:r>
        <w:rPr>
          <w:rFonts w:ascii="Times New Roman" w:hAnsi="Times New Roman" w:cs="Times New Roman"/>
          <w:kern w:val="2"/>
          <w:sz w:val="24"/>
          <w:szCs w:val="24"/>
        </w:rPr>
        <w:drawing>
          <wp:inline distT="0" distB="0" distL="0" distR="0">
            <wp:extent cx="5781040" cy="539115"/>
            <wp:effectExtent l="0" t="0" r="0" b="0"/>
            <wp:docPr id="200505980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059808" name="图片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781600" cy="539514"/>
                    </a:xfrm>
                    <a:prstGeom prst="rect">
                      <a:avLst/>
                    </a:prstGeom>
                    <a:noFill/>
                    <a:ln>
                      <a:noFill/>
                    </a:ln>
                  </pic:spPr>
                </pic:pic>
              </a:graphicData>
            </a:graphic>
          </wp:inline>
        </w:drawing>
      </w:r>
      <w:r>
        <w:rPr>
          <w:rFonts w:ascii="Times New Roman" w:hAnsi="Times New Roman" w:cs="Times New Roman"/>
          <w:kern w:val="2"/>
          <w:sz w:val="22"/>
          <w:szCs w:val="22"/>
        </w:rPr>
        <w:drawing>
          <wp:inline distT="0" distB="0" distL="0" distR="0">
            <wp:extent cx="5781040" cy="471170"/>
            <wp:effectExtent l="0" t="0" r="0" b="5080"/>
            <wp:docPr id="5417467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746751" name="图片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781600" cy="471264"/>
                    </a:xfrm>
                    <a:prstGeom prst="rect">
                      <a:avLst/>
                    </a:prstGeom>
                    <a:noFill/>
                    <a:ln>
                      <a:noFill/>
                    </a:ln>
                  </pic:spPr>
                </pic:pic>
              </a:graphicData>
            </a:graphic>
          </wp:inline>
        </w:drawing>
      </w:r>
      <w:r>
        <w:rPr>
          <w:rFonts w:ascii="Times New Roman" w:hAnsi="Times New Roman" w:cs="Times New Roman"/>
          <w:kern w:val="2"/>
          <w:sz w:val="22"/>
          <w:szCs w:val="22"/>
        </w:rPr>
        <w:drawing>
          <wp:inline distT="0" distB="0" distL="0" distR="0">
            <wp:extent cx="5781040" cy="478155"/>
            <wp:effectExtent l="0" t="0" r="0" b="0"/>
            <wp:docPr id="157846149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461499" name="图片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781600" cy="478292"/>
                    </a:xfrm>
                    <a:prstGeom prst="rect">
                      <a:avLst/>
                    </a:prstGeom>
                    <a:noFill/>
                    <a:ln>
                      <a:noFill/>
                    </a:ln>
                  </pic:spPr>
                </pic:pic>
              </a:graphicData>
            </a:graphic>
          </wp:inline>
        </w:drawing>
      </w:r>
    </w:p>
    <w:p w14:paraId="42970660">
      <w:pPr>
        <w:spacing w:line="360" w:lineRule="auto"/>
        <w:ind w:firstLine="480" w:firstLineChars="200"/>
        <w:rPr>
          <w:rFonts w:ascii="Times New Roman" w:hAnsi="Times New Roman" w:cs="Times New Roman"/>
          <w:kern w:val="2"/>
          <w:sz w:val="24"/>
          <w:szCs w:val="24"/>
          <w:lang w:eastAsia="zh-CN"/>
        </w:rPr>
      </w:pPr>
      <w:r>
        <w:rPr>
          <w:rFonts w:ascii="Times New Roman" w:hAnsi="Times New Roman" w:cs="Times New Roman"/>
          <w:kern w:val="2"/>
          <w:sz w:val="24"/>
          <w:szCs w:val="24"/>
          <w:lang w:eastAsia="zh-CN"/>
        </w:rPr>
        <w:t xml:space="preserve">3. </w:t>
      </w:r>
      <w:r>
        <w:rPr>
          <w:rFonts w:hint="eastAsia" w:ascii="宋体" w:hAnsi="宋体" w:eastAsia="宋体" w:cs="宋体"/>
          <w:kern w:val="2"/>
          <w:sz w:val="24"/>
          <w:szCs w:val="24"/>
          <w:lang w:eastAsia="zh-CN"/>
        </w:rPr>
        <w:t>引用</w:t>
      </w:r>
      <w:r>
        <w:rPr>
          <w:rFonts w:ascii="Times New Roman" w:hAnsi="Times New Roman" w:cs="Times New Roman"/>
          <w:kern w:val="2"/>
          <w:sz w:val="24"/>
          <w:szCs w:val="24"/>
          <w:lang w:eastAsia="zh-CN"/>
        </w:rPr>
        <w:t>2</w:t>
      </w:r>
      <w:r>
        <w:rPr>
          <w:rFonts w:hint="eastAsia" w:ascii="宋体" w:hAnsi="宋体" w:eastAsia="宋体" w:cs="宋体"/>
          <w:kern w:val="2"/>
          <w:sz w:val="24"/>
          <w:szCs w:val="24"/>
          <w:lang w:eastAsia="zh-CN"/>
        </w:rPr>
        <w:t>篇期刊论文或</w:t>
      </w:r>
      <w:r>
        <w:rPr>
          <w:rFonts w:ascii="Times New Roman" w:hAnsi="Times New Roman" w:cs="Times New Roman"/>
          <w:kern w:val="2"/>
          <w:sz w:val="24"/>
          <w:szCs w:val="24"/>
          <w:lang w:eastAsia="zh-CN"/>
        </w:rPr>
        <w:t>2</w:t>
      </w:r>
      <w:r>
        <w:rPr>
          <w:rFonts w:hint="eastAsia" w:ascii="宋体" w:hAnsi="宋体" w:eastAsia="宋体" w:cs="宋体"/>
          <w:kern w:val="2"/>
          <w:sz w:val="24"/>
          <w:szCs w:val="24"/>
          <w:lang w:eastAsia="zh-CN"/>
        </w:rPr>
        <w:t>篇硕士论文的特例说明：</w:t>
      </w:r>
    </w:p>
    <w:p w14:paraId="36DC6C4A">
      <w:pPr>
        <w:spacing w:line="360" w:lineRule="auto"/>
        <w:ind w:firstLine="480" w:firstLineChars="200"/>
        <w:rPr>
          <w:rFonts w:ascii="Times New Roman" w:hAnsi="Times New Roman" w:cs="Times New Roman"/>
          <w:kern w:val="2"/>
          <w:sz w:val="24"/>
          <w:szCs w:val="24"/>
          <w:lang w:eastAsia="zh-CN"/>
        </w:rPr>
      </w:pPr>
      <w:r>
        <w:rPr>
          <w:rFonts w:hint="eastAsia" w:ascii="宋体" w:hAnsi="宋体" w:eastAsia="宋体" w:cs="宋体"/>
          <w:kern w:val="2"/>
          <w:sz w:val="24"/>
          <w:szCs w:val="24"/>
          <w:lang w:eastAsia="zh-CN"/>
        </w:rPr>
        <w:t>期刊论文和学位论文引用该标准中的总淀粉含量测定方法，获得学术期刊同行评议的认可并发表，其测定结果得到充分的验证，取得较好的效果。举例如下：</w:t>
      </w:r>
    </w:p>
    <w:p w14:paraId="41331D70">
      <w:pPr>
        <w:spacing w:line="360" w:lineRule="auto"/>
        <w:ind w:firstLine="480" w:firstLineChars="200"/>
        <w:rPr>
          <w:rFonts w:ascii="Times New Roman" w:hAnsi="Times New Roman" w:cs="Times New Roman"/>
          <w:kern w:val="2"/>
          <w:sz w:val="24"/>
          <w:szCs w:val="24"/>
          <w:lang w:eastAsia="zh-CN"/>
        </w:rPr>
      </w:pPr>
      <w:r>
        <w:rPr>
          <w:rFonts w:ascii="Times New Roman" w:hAnsi="Times New Roman" w:cs="Times New Roman"/>
          <w:kern w:val="2"/>
          <w:sz w:val="24"/>
          <w:szCs w:val="24"/>
          <w:lang w:eastAsia="zh-CN"/>
        </w:rPr>
        <w:t xml:space="preserve">3.1 </w:t>
      </w:r>
      <w:r>
        <w:rPr>
          <w:rFonts w:hint="eastAsia" w:ascii="宋体" w:hAnsi="宋体" w:eastAsia="宋体" w:cs="宋体"/>
          <w:kern w:val="2"/>
          <w:sz w:val="24"/>
          <w:szCs w:val="24"/>
          <w:lang w:eastAsia="zh-CN"/>
        </w:rPr>
        <w:t>对期刊论文</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采用不同标准方法测定玉米样品中淀粉含量的对比研究</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引用说明：</w:t>
      </w:r>
    </w:p>
    <w:p w14:paraId="60FD2142">
      <w:pPr>
        <w:spacing w:line="360" w:lineRule="auto"/>
        <w:ind w:firstLine="480" w:firstLineChars="200"/>
        <w:rPr>
          <w:rFonts w:ascii="Times New Roman" w:hAnsi="Times New Roman" w:cs="Times New Roman"/>
          <w:kern w:val="2"/>
          <w:sz w:val="24"/>
          <w:szCs w:val="24"/>
        </w:rPr>
      </w:pPr>
      <w:r>
        <w:rPr>
          <w:rFonts w:hint="eastAsia" w:ascii="宋体" w:hAnsi="宋体" w:eastAsia="宋体" w:cs="宋体"/>
          <w:kern w:val="2"/>
          <w:sz w:val="24"/>
          <w:szCs w:val="24"/>
          <w:lang w:eastAsia="zh-CN"/>
        </w:rPr>
        <w:t>（</w:t>
      </w:r>
      <w:r>
        <w:rPr>
          <w:rFonts w:ascii="Times New Roman" w:hAnsi="Times New Roman" w:cs="Times New Roman"/>
          <w:kern w:val="2"/>
          <w:sz w:val="24"/>
          <w:szCs w:val="24"/>
          <w:lang w:eastAsia="zh-CN"/>
        </w:rPr>
        <w:t>1</w:t>
      </w:r>
      <w:r>
        <w:rPr>
          <w:rFonts w:hint="eastAsia" w:ascii="宋体" w:hAnsi="宋体" w:eastAsia="宋体" w:cs="宋体"/>
          <w:kern w:val="2"/>
          <w:sz w:val="24"/>
          <w:szCs w:val="24"/>
          <w:lang w:eastAsia="zh-CN"/>
        </w:rPr>
        <w:t>）北京市预防医学研究中心的李兵等人的文章</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国内外淀粉含量的检测标准现状及检测方法研究进展</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引用该文献，并对文献的方法进行比较分析。</w:t>
      </w:r>
      <w:r>
        <w:rPr>
          <w:rFonts w:hint="eastAsia" w:ascii="宋体" w:hAnsi="宋体" w:eastAsia="宋体" w:cs="宋体"/>
          <w:kern w:val="2"/>
          <w:sz w:val="24"/>
          <w:szCs w:val="24"/>
        </w:rPr>
        <w:t>如截图</w:t>
      </w:r>
      <w:r>
        <w:rPr>
          <w:rFonts w:ascii="Times New Roman" w:hAnsi="Times New Roman" w:cs="Times New Roman"/>
          <w:kern w:val="2"/>
          <w:sz w:val="24"/>
          <w:szCs w:val="24"/>
        </w:rPr>
        <w:t>1</w:t>
      </w:r>
      <w:r>
        <w:rPr>
          <w:rFonts w:hint="eastAsia" w:ascii="宋体" w:hAnsi="宋体" w:eastAsia="宋体" w:cs="宋体"/>
          <w:kern w:val="2"/>
          <w:sz w:val="24"/>
          <w:szCs w:val="24"/>
        </w:rPr>
        <w:t>所示：</w:t>
      </w:r>
    </w:p>
    <w:p w14:paraId="69F1DD6E">
      <w:pPr>
        <w:spacing w:line="360" w:lineRule="auto"/>
        <w:jc w:val="center"/>
        <w:rPr>
          <w:rFonts w:ascii="Times New Roman" w:hAnsi="Times New Roman" w:cs="Times New Roman"/>
          <w:kern w:val="2"/>
          <w:sz w:val="22"/>
          <w:szCs w:val="22"/>
        </w:rPr>
      </w:pPr>
      <w:r>
        <w:rPr>
          <w:rFonts w:ascii="Times New Roman" w:hAnsi="Times New Roman" w:cs="Times New Roman"/>
          <w:kern w:val="2"/>
          <w:sz w:val="22"/>
          <w:szCs w:val="22"/>
        </w:rPr>
        <w:drawing>
          <wp:inline distT="0" distB="0" distL="0" distR="0">
            <wp:extent cx="2879725" cy="1209040"/>
            <wp:effectExtent l="0" t="0" r="0" b="0"/>
            <wp:docPr id="25182238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822380" name="图片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880000" cy="1209126"/>
                    </a:xfrm>
                    <a:prstGeom prst="rect">
                      <a:avLst/>
                    </a:prstGeom>
                    <a:noFill/>
                    <a:ln>
                      <a:noFill/>
                    </a:ln>
                  </pic:spPr>
                </pic:pic>
              </a:graphicData>
            </a:graphic>
          </wp:inline>
        </w:drawing>
      </w:r>
    </w:p>
    <w:p w14:paraId="7EC8B9D8">
      <w:pPr>
        <w:spacing w:line="360" w:lineRule="auto"/>
        <w:jc w:val="center"/>
        <w:rPr>
          <w:rFonts w:ascii="Times New Roman" w:hAnsi="Times New Roman" w:cs="Times New Roman"/>
          <w:kern w:val="2"/>
          <w:sz w:val="24"/>
          <w:szCs w:val="24"/>
          <w:lang w:eastAsia="zh-CN"/>
        </w:rPr>
      </w:pPr>
      <w:r>
        <w:rPr>
          <w:rFonts w:hint="eastAsia" w:ascii="宋体" w:hAnsi="宋体" w:eastAsia="宋体" w:cs="宋体"/>
          <w:kern w:val="2"/>
          <w:sz w:val="24"/>
          <w:szCs w:val="24"/>
          <w:lang w:eastAsia="zh-CN"/>
        </w:rPr>
        <w:t>截图</w:t>
      </w:r>
      <w:r>
        <w:rPr>
          <w:rFonts w:ascii="Times New Roman" w:hAnsi="Times New Roman" w:cs="Times New Roman"/>
          <w:kern w:val="2"/>
          <w:sz w:val="24"/>
          <w:szCs w:val="24"/>
          <w:lang w:eastAsia="zh-CN"/>
        </w:rPr>
        <w:t xml:space="preserve">1 </w:t>
      </w:r>
      <w:r>
        <w:rPr>
          <w:rFonts w:hint="eastAsia" w:ascii="宋体" w:hAnsi="宋体" w:eastAsia="宋体" w:cs="宋体"/>
          <w:kern w:val="2"/>
          <w:sz w:val="24"/>
          <w:szCs w:val="24"/>
          <w:lang w:eastAsia="zh-CN"/>
        </w:rPr>
        <w:t>期刊论文</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国内外淀粉含量的检测标准现状及检测方法研究进展</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引用截图</w:t>
      </w:r>
    </w:p>
    <w:p w14:paraId="758EA174">
      <w:pPr>
        <w:spacing w:line="360" w:lineRule="auto"/>
        <w:ind w:firstLine="480" w:firstLineChars="200"/>
        <w:rPr>
          <w:rFonts w:ascii="Times New Roman" w:hAnsi="Times New Roman" w:cs="Times New Roman"/>
          <w:kern w:val="2"/>
          <w:sz w:val="24"/>
          <w:szCs w:val="24"/>
        </w:rPr>
      </w:pPr>
      <w:r>
        <w:rPr>
          <w:rFonts w:hint="eastAsia" w:ascii="宋体" w:hAnsi="宋体" w:eastAsia="宋体" w:cs="宋体"/>
          <w:kern w:val="2"/>
          <w:sz w:val="24"/>
          <w:szCs w:val="24"/>
          <w:lang w:eastAsia="zh-CN"/>
        </w:rPr>
        <w:t>（</w:t>
      </w:r>
      <w:r>
        <w:rPr>
          <w:rFonts w:ascii="Times New Roman" w:hAnsi="Times New Roman" w:cs="Times New Roman"/>
          <w:kern w:val="2"/>
          <w:sz w:val="24"/>
          <w:szCs w:val="24"/>
          <w:lang w:eastAsia="zh-CN"/>
        </w:rPr>
        <w:t>2</w:t>
      </w:r>
      <w:r>
        <w:rPr>
          <w:rFonts w:hint="eastAsia" w:ascii="宋体" w:hAnsi="宋体" w:eastAsia="宋体" w:cs="宋体"/>
          <w:kern w:val="2"/>
          <w:sz w:val="24"/>
          <w:szCs w:val="24"/>
          <w:lang w:eastAsia="zh-CN"/>
        </w:rPr>
        <w:t>）西藏农牧学院的冯西博等人的文章</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青藏高原青稞产量性状与品质性状</w:t>
      </w:r>
      <w:r>
        <w:rPr>
          <w:rFonts w:ascii="Times New Roman" w:hAnsi="Times New Roman" w:cs="Times New Roman"/>
          <w:kern w:val="2"/>
          <w:sz w:val="24"/>
          <w:szCs w:val="24"/>
          <w:lang w:eastAsia="zh-CN"/>
        </w:rPr>
        <w:t>PLS</w:t>
      </w:r>
      <w:r>
        <w:rPr>
          <w:rFonts w:hint="eastAsia" w:ascii="宋体" w:hAnsi="宋体" w:eastAsia="宋体" w:cs="宋体"/>
          <w:kern w:val="2"/>
          <w:sz w:val="24"/>
          <w:szCs w:val="24"/>
          <w:lang w:eastAsia="zh-CN"/>
        </w:rPr>
        <w:t>模型优化的研究</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引用该文献的测定方法。</w:t>
      </w:r>
      <w:r>
        <w:rPr>
          <w:rFonts w:hint="eastAsia" w:ascii="宋体" w:hAnsi="宋体" w:eastAsia="宋体" w:cs="宋体"/>
          <w:kern w:val="2"/>
          <w:sz w:val="24"/>
          <w:szCs w:val="24"/>
        </w:rPr>
        <w:t>如截图</w:t>
      </w:r>
      <w:r>
        <w:rPr>
          <w:rFonts w:ascii="Times New Roman" w:hAnsi="Times New Roman" w:cs="Times New Roman"/>
          <w:kern w:val="2"/>
          <w:sz w:val="24"/>
          <w:szCs w:val="24"/>
        </w:rPr>
        <w:t>2</w:t>
      </w:r>
      <w:r>
        <w:rPr>
          <w:rFonts w:hint="eastAsia" w:ascii="宋体" w:hAnsi="宋体" w:eastAsia="宋体" w:cs="宋体"/>
          <w:kern w:val="2"/>
          <w:sz w:val="24"/>
          <w:szCs w:val="24"/>
        </w:rPr>
        <w:t>所示：</w:t>
      </w:r>
    </w:p>
    <w:p w14:paraId="7BD4E76F">
      <w:pPr>
        <w:jc w:val="center"/>
        <w:rPr>
          <w:rFonts w:ascii="Times New Roman" w:hAnsi="Times New Roman" w:cs="Times New Roman"/>
          <w:kern w:val="2"/>
          <w:sz w:val="22"/>
          <w:szCs w:val="22"/>
        </w:rPr>
      </w:pPr>
      <w:r>
        <w:rPr>
          <w:rFonts w:ascii="Times New Roman" w:hAnsi="Times New Roman" w:cs="Times New Roman"/>
          <w:kern w:val="2"/>
          <w:sz w:val="22"/>
          <w:szCs w:val="22"/>
        </w:rPr>
        <w:drawing>
          <wp:inline distT="0" distB="0" distL="0" distR="0">
            <wp:extent cx="2879725" cy="1402715"/>
            <wp:effectExtent l="0" t="0" r="0" b="6985"/>
            <wp:docPr id="210810014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100146" name="图片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880000" cy="1402984"/>
                    </a:xfrm>
                    <a:prstGeom prst="rect">
                      <a:avLst/>
                    </a:prstGeom>
                    <a:noFill/>
                    <a:ln>
                      <a:noFill/>
                    </a:ln>
                  </pic:spPr>
                </pic:pic>
              </a:graphicData>
            </a:graphic>
          </wp:inline>
        </w:drawing>
      </w:r>
    </w:p>
    <w:p w14:paraId="31BF76C0">
      <w:pPr>
        <w:spacing w:line="360" w:lineRule="auto"/>
        <w:jc w:val="center"/>
        <w:rPr>
          <w:rFonts w:ascii="Times New Roman" w:hAnsi="Times New Roman" w:cs="Times New Roman"/>
          <w:kern w:val="2"/>
          <w:sz w:val="24"/>
          <w:szCs w:val="24"/>
          <w:lang w:eastAsia="zh-CN"/>
        </w:rPr>
      </w:pPr>
      <w:r>
        <w:rPr>
          <w:rFonts w:hint="eastAsia" w:ascii="宋体" w:hAnsi="宋体" w:eastAsia="宋体" w:cs="宋体"/>
          <w:kern w:val="2"/>
          <w:sz w:val="24"/>
          <w:szCs w:val="24"/>
          <w:lang w:eastAsia="zh-CN"/>
        </w:rPr>
        <w:t>截图</w:t>
      </w:r>
      <w:r>
        <w:rPr>
          <w:rFonts w:ascii="Times New Roman" w:hAnsi="Times New Roman" w:cs="Times New Roman"/>
          <w:kern w:val="2"/>
          <w:sz w:val="24"/>
          <w:szCs w:val="24"/>
          <w:lang w:eastAsia="zh-CN"/>
        </w:rPr>
        <w:t xml:space="preserve">2 </w:t>
      </w:r>
      <w:r>
        <w:rPr>
          <w:rFonts w:hint="eastAsia" w:ascii="宋体" w:hAnsi="宋体" w:eastAsia="宋体" w:cs="宋体"/>
          <w:kern w:val="2"/>
          <w:sz w:val="24"/>
          <w:szCs w:val="24"/>
          <w:lang w:eastAsia="zh-CN"/>
        </w:rPr>
        <w:t>期刊论文</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青藏高原青稞产量性状与品质性状</w:t>
      </w:r>
      <w:r>
        <w:rPr>
          <w:rFonts w:ascii="Times New Roman" w:hAnsi="Times New Roman" w:cs="Times New Roman"/>
          <w:kern w:val="2"/>
          <w:sz w:val="24"/>
          <w:szCs w:val="24"/>
          <w:lang w:eastAsia="zh-CN"/>
        </w:rPr>
        <w:t>PLS</w:t>
      </w:r>
      <w:r>
        <w:rPr>
          <w:rFonts w:hint="eastAsia" w:ascii="宋体" w:hAnsi="宋体" w:eastAsia="宋体" w:cs="宋体"/>
          <w:kern w:val="2"/>
          <w:sz w:val="24"/>
          <w:szCs w:val="24"/>
          <w:lang w:eastAsia="zh-CN"/>
        </w:rPr>
        <w:t>模型优化的研究</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引用截图</w:t>
      </w:r>
    </w:p>
    <w:p w14:paraId="193B6D1C">
      <w:pPr>
        <w:spacing w:line="360" w:lineRule="auto"/>
        <w:ind w:firstLine="480" w:firstLineChars="200"/>
        <w:rPr>
          <w:rFonts w:ascii="Times New Roman" w:hAnsi="Times New Roman" w:cs="Times New Roman"/>
          <w:kern w:val="2"/>
          <w:sz w:val="24"/>
          <w:szCs w:val="24"/>
        </w:rPr>
      </w:pPr>
      <w:r>
        <w:rPr>
          <w:rFonts w:hint="eastAsia" w:ascii="宋体" w:hAnsi="宋体" w:eastAsia="宋体" w:cs="宋体"/>
          <w:kern w:val="2"/>
          <w:sz w:val="24"/>
          <w:szCs w:val="24"/>
          <w:lang w:eastAsia="zh-CN"/>
        </w:rPr>
        <w:t>（</w:t>
      </w:r>
      <w:r>
        <w:rPr>
          <w:rFonts w:ascii="Times New Roman" w:hAnsi="Times New Roman" w:cs="Times New Roman"/>
          <w:kern w:val="2"/>
          <w:sz w:val="24"/>
          <w:szCs w:val="24"/>
          <w:lang w:eastAsia="zh-CN"/>
        </w:rPr>
        <w:t>3</w:t>
      </w:r>
      <w:r>
        <w:rPr>
          <w:rFonts w:hint="eastAsia" w:ascii="宋体" w:hAnsi="宋体" w:eastAsia="宋体" w:cs="宋体"/>
          <w:kern w:val="2"/>
          <w:sz w:val="24"/>
          <w:szCs w:val="24"/>
          <w:lang w:eastAsia="zh-CN"/>
        </w:rPr>
        <w:t>）东北林业大学的罗浩的硕士学位论文</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外源茉莉酸甲酯调控发芽玉米籽粒合成类胡萝卜素的研究</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引用该文献的测定方法。</w:t>
      </w:r>
      <w:r>
        <w:rPr>
          <w:rFonts w:hint="eastAsia" w:ascii="宋体" w:hAnsi="宋体" w:eastAsia="宋体" w:cs="宋体"/>
          <w:kern w:val="2"/>
          <w:sz w:val="24"/>
          <w:szCs w:val="24"/>
        </w:rPr>
        <w:t>如截图</w:t>
      </w:r>
      <w:r>
        <w:rPr>
          <w:rFonts w:ascii="Times New Roman" w:hAnsi="Times New Roman" w:cs="Times New Roman"/>
          <w:kern w:val="2"/>
          <w:sz w:val="24"/>
          <w:szCs w:val="24"/>
        </w:rPr>
        <w:t>3</w:t>
      </w:r>
      <w:r>
        <w:rPr>
          <w:rFonts w:hint="eastAsia" w:ascii="宋体" w:hAnsi="宋体" w:eastAsia="宋体" w:cs="宋体"/>
          <w:kern w:val="2"/>
          <w:sz w:val="24"/>
          <w:szCs w:val="24"/>
        </w:rPr>
        <w:t>所示：</w:t>
      </w:r>
    </w:p>
    <w:p w14:paraId="17D577FB">
      <w:pPr>
        <w:jc w:val="center"/>
        <w:rPr>
          <w:rFonts w:ascii="Times New Roman" w:hAnsi="Times New Roman" w:cs="Times New Roman"/>
          <w:kern w:val="2"/>
          <w:sz w:val="22"/>
          <w:szCs w:val="22"/>
        </w:rPr>
      </w:pPr>
      <w:r>
        <w:rPr>
          <w:rFonts w:ascii="Times New Roman" w:hAnsi="Times New Roman" w:cs="Times New Roman"/>
          <w:kern w:val="2"/>
          <w:sz w:val="22"/>
          <w:szCs w:val="22"/>
        </w:rPr>
        <w:drawing>
          <wp:inline distT="0" distB="0" distL="0" distR="0">
            <wp:extent cx="4319905" cy="2044700"/>
            <wp:effectExtent l="0" t="0" r="4445" b="0"/>
            <wp:docPr id="2699000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900029" name="图片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320000" cy="2045313"/>
                    </a:xfrm>
                    <a:prstGeom prst="rect">
                      <a:avLst/>
                    </a:prstGeom>
                    <a:noFill/>
                    <a:ln>
                      <a:noFill/>
                    </a:ln>
                  </pic:spPr>
                </pic:pic>
              </a:graphicData>
            </a:graphic>
          </wp:inline>
        </w:drawing>
      </w:r>
      <w:r>
        <w:rPr>
          <w:rFonts w:ascii="Times New Roman" w:hAnsi="Times New Roman" w:cs="Times New Roman"/>
          <w:kern w:val="2"/>
          <w:sz w:val="22"/>
          <w:szCs w:val="22"/>
        </w:rPr>
        <w:drawing>
          <wp:inline distT="0" distB="0" distL="0" distR="0">
            <wp:extent cx="4319905" cy="325120"/>
            <wp:effectExtent l="0" t="0" r="4445" b="0"/>
            <wp:docPr id="12705126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512652" name="图片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320000" cy="325391"/>
                    </a:xfrm>
                    <a:prstGeom prst="rect">
                      <a:avLst/>
                    </a:prstGeom>
                    <a:noFill/>
                    <a:ln>
                      <a:noFill/>
                    </a:ln>
                  </pic:spPr>
                </pic:pic>
              </a:graphicData>
            </a:graphic>
          </wp:inline>
        </w:drawing>
      </w:r>
    </w:p>
    <w:p w14:paraId="7368A37C">
      <w:pPr>
        <w:spacing w:line="360" w:lineRule="auto"/>
        <w:jc w:val="center"/>
        <w:rPr>
          <w:rFonts w:ascii="Times New Roman" w:hAnsi="Times New Roman" w:cs="Times New Roman"/>
          <w:kern w:val="2"/>
          <w:sz w:val="24"/>
          <w:szCs w:val="24"/>
          <w:lang w:eastAsia="zh-CN"/>
        </w:rPr>
      </w:pPr>
      <w:r>
        <w:rPr>
          <w:rFonts w:hint="eastAsia" w:ascii="宋体" w:hAnsi="宋体" w:eastAsia="宋体" w:cs="宋体"/>
          <w:kern w:val="2"/>
          <w:sz w:val="24"/>
          <w:szCs w:val="24"/>
          <w:lang w:eastAsia="zh-CN"/>
        </w:rPr>
        <w:t>截图</w:t>
      </w:r>
      <w:r>
        <w:rPr>
          <w:rFonts w:ascii="Times New Roman" w:hAnsi="Times New Roman" w:cs="Times New Roman"/>
          <w:kern w:val="2"/>
          <w:sz w:val="24"/>
          <w:szCs w:val="24"/>
          <w:lang w:eastAsia="zh-CN"/>
        </w:rPr>
        <w:t xml:space="preserve">3 </w:t>
      </w:r>
      <w:r>
        <w:rPr>
          <w:rFonts w:hint="eastAsia" w:ascii="宋体" w:hAnsi="宋体" w:eastAsia="宋体" w:cs="宋体"/>
          <w:kern w:val="2"/>
          <w:sz w:val="24"/>
          <w:szCs w:val="24"/>
          <w:lang w:eastAsia="zh-CN"/>
        </w:rPr>
        <w:t>学位论文</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外源茉莉酸甲酯调控发芽玉米籽粒合成类胡萝卜素的研究</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方法引用截图</w:t>
      </w:r>
    </w:p>
    <w:p w14:paraId="1054BAF2">
      <w:pPr>
        <w:spacing w:line="360" w:lineRule="auto"/>
        <w:ind w:firstLine="480" w:firstLineChars="200"/>
        <w:rPr>
          <w:rFonts w:ascii="Times New Roman" w:hAnsi="Times New Roman" w:cs="Times New Roman"/>
          <w:kern w:val="2"/>
          <w:sz w:val="24"/>
          <w:szCs w:val="24"/>
        </w:rPr>
      </w:pPr>
      <w:r>
        <w:rPr>
          <w:rFonts w:hint="eastAsia" w:ascii="宋体" w:hAnsi="宋体" w:eastAsia="宋体" w:cs="宋体"/>
          <w:kern w:val="2"/>
          <w:sz w:val="24"/>
          <w:szCs w:val="24"/>
          <w:lang w:eastAsia="zh-CN"/>
        </w:rPr>
        <w:t>（</w:t>
      </w:r>
      <w:r>
        <w:rPr>
          <w:rFonts w:ascii="Times New Roman" w:hAnsi="Times New Roman" w:cs="Times New Roman"/>
          <w:kern w:val="2"/>
          <w:sz w:val="24"/>
          <w:szCs w:val="24"/>
          <w:lang w:eastAsia="zh-CN"/>
        </w:rPr>
        <w:t>4</w:t>
      </w:r>
      <w:r>
        <w:rPr>
          <w:rFonts w:hint="eastAsia" w:ascii="宋体" w:hAnsi="宋体" w:eastAsia="宋体" w:cs="宋体"/>
          <w:kern w:val="2"/>
          <w:sz w:val="24"/>
          <w:szCs w:val="24"/>
          <w:lang w:eastAsia="zh-CN"/>
        </w:rPr>
        <w:t>）东北林业大学的汪雨茜的硕士学位论文</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中波紫外光和</w:t>
      </w:r>
      <w:r>
        <w:rPr>
          <w:rFonts w:ascii="Times New Roman" w:hAnsi="Times New Roman" w:cs="Times New Roman"/>
          <w:kern w:val="2"/>
          <w:sz w:val="24"/>
          <w:szCs w:val="24"/>
          <w:lang w:eastAsia="zh-CN"/>
        </w:rPr>
        <w:t>NaCl</w:t>
      </w:r>
      <w:r>
        <w:rPr>
          <w:rFonts w:hint="eastAsia" w:ascii="宋体" w:hAnsi="宋体" w:eastAsia="宋体" w:cs="宋体"/>
          <w:kern w:val="2"/>
          <w:sz w:val="24"/>
          <w:szCs w:val="24"/>
          <w:lang w:eastAsia="zh-CN"/>
        </w:rPr>
        <w:t>胁迫发芽玉米籽粒富集叶黄素的研究</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引用该文献的测定方法。</w:t>
      </w:r>
      <w:r>
        <w:rPr>
          <w:rFonts w:hint="eastAsia" w:ascii="宋体" w:hAnsi="宋体" w:eastAsia="宋体" w:cs="宋体"/>
          <w:kern w:val="2"/>
          <w:sz w:val="24"/>
          <w:szCs w:val="24"/>
        </w:rPr>
        <w:t>如截图</w:t>
      </w:r>
      <w:r>
        <w:rPr>
          <w:rFonts w:ascii="Times New Roman" w:hAnsi="Times New Roman" w:cs="Times New Roman"/>
          <w:kern w:val="2"/>
          <w:sz w:val="24"/>
          <w:szCs w:val="24"/>
        </w:rPr>
        <w:t>4</w:t>
      </w:r>
      <w:r>
        <w:rPr>
          <w:rFonts w:hint="eastAsia" w:ascii="宋体" w:hAnsi="宋体" w:eastAsia="宋体" w:cs="宋体"/>
          <w:kern w:val="2"/>
          <w:sz w:val="24"/>
          <w:szCs w:val="24"/>
        </w:rPr>
        <w:t>所示：</w:t>
      </w:r>
    </w:p>
    <w:p w14:paraId="1D9482CC">
      <w:pPr>
        <w:spacing w:line="360" w:lineRule="auto"/>
        <w:ind w:firstLine="440" w:firstLineChars="200"/>
        <w:jc w:val="center"/>
        <w:rPr>
          <w:rFonts w:ascii="Times New Roman" w:hAnsi="Times New Roman" w:cs="Times New Roman"/>
          <w:kern w:val="2"/>
          <w:sz w:val="22"/>
          <w:szCs w:val="22"/>
        </w:rPr>
      </w:pPr>
      <w:r>
        <w:rPr>
          <w:rFonts w:ascii="Times New Roman" w:hAnsi="Times New Roman" w:cs="Times New Roman"/>
          <w:kern w:val="2"/>
          <w:sz w:val="22"/>
          <w:szCs w:val="22"/>
        </w:rPr>
        <w:drawing>
          <wp:inline distT="0" distB="0" distL="0" distR="0">
            <wp:extent cx="4319905" cy="788035"/>
            <wp:effectExtent l="0" t="0" r="4445" b="0"/>
            <wp:docPr id="8507401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740122" name="图片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320000" cy="788352"/>
                    </a:xfrm>
                    <a:prstGeom prst="rect">
                      <a:avLst/>
                    </a:prstGeom>
                    <a:noFill/>
                    <a:ln>
                      <a:noFill/>
                    </a:ln>
                  </pic:spPr>
                </pic:pic>
              </a:graphicData>
            </a:graphic>
          </wp:inline>
        </w:drawing>
      </w:r>
    </w:p>
    <w:p w14:paraId="656A9E61">
      <w:pPr>
        <w:spacing w:line="360" w:lineRule="auto"/>
        <w:ind w:firstLine="440" w:firstLineChars="200"/>
        <w:jc w:val="center"/>
        <w:rPr>
          <w:rFonts w:ascii="Times New Roman" w:hAnsi="Times New Roman" w:cs="Times New Roman"/>
          <w:kern w:val="2"/>
          <w:sz w:val="22"/>
          <w:szCs w:val="22"/>
        </w:rPr>
      </w:pPr>
      <w:r>
        <w:rPr>
          <w:rFonts w:ascii="Times New Roman" w:hAnsi="Times New Roman" w:cs="Times New Roman"/>
          <w:kern w:val="2"/>
          <w:sz w:val="22"/>
          <w:szCs w:val="22"/>
        </w:rPr>
        <w:drawing>
          <wp:inline distT="0" distB="0" distL="0" distR="0">
            <wp:extent cx="4319905" cy="341630"/>
            <wp:effectExtent l="0" t="0" r="0" b="1270"/>
            <wp:docPr id="177079647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796472" name="图片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320000" cy="342219"/>
                    </a:xfrm>
                    <a:prstGeom prst="rect">
                      <a:avLst/>
                    </a:prstGeom>
                    <a:noFill/>
                    <a:ln>
                      <a:noFill/>
                    </a:ln>
                  </pic:spPr>
                </pic:pic>
              </a:graphicData>
            </a:graphic>
          </wp:inline>
        </w:drawing>
      </w:r>
    </w:p>
    <w:p w14:paraId="464ADA03">
      <w:pPr>
        <w:spacing w:line="360" w:lineRule="auto"/>
        <w:jc w:val="center"/>
        <w:rPr>
          <w:rFonts w:ascii="Times New Roman" w:hAnsi="Times New Roman" w:cs="Times New Roman"/>
          <w:kern w:val="2"/>
          <w:sz w:val="24"/>
          <w:szCs w:val="24"/>
          <w:lang w:eastAsia="zh-CN"/>
        </w:rPr>
      </w:pPr>
      <w:r>
        <w:rPr>
          <w:rFonts w:hint="eastAsia" w:ascii="宋体" w:hAnsi="宋体" w:eastAsia="宋体" w:cs="宋体"/>
          <w:kern w:val="2"/>
          <w:sz w:val="24"/>
          <w:szCs w:val="24"/>
          <w:lang w:eastAsia="zh-CN"/>
        </w:rPr>
        <w:t>截图</w:t>
      </w:r>
      <w:r>
        <w:rPr>
          <w:rFonts w:ascii="Times New Roman" w:hAnsi="Times New Roman" w:cs="Times New Roman"/>
          <w:kern w:val="2"/>
          <w:sz w:val="24"/>
          <w:szCs w:val="24"/>
          <w:lang w:eastAsia="zh-CN"/>
        </w:rPr>
        <w:t xml:space="preserve">4 </w:t>
      </w:r>
      <w:r>
        <w:rPr>
          <w:rFonts w:hint="eastAsia" w:ascii="宋体" w:hAnsi="宋体" w:eastAsia="宋体" w:cs="宋体"/>
          <w:kern w:val="2"/>
          <w:sz w:val="24"/>
          <w:szCs w:val="24"/>
          <w:lang w:eastAsia="zh-CN"/>
        </w:rPr>
        <w:t>学位论文</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中波紫外光和</w:t>
      </w:r>
      <w:r>
        <w:rPr>
          <w:rFonts w:ascii="Times New Roman" w:hAnsi="Times New Roman" w:cs="Times New Roman"/>
          <w:kern w:val="2"/>
          <w:sz w:val="24"/>
          <w:szCs w:val="24"/>
          <w:lang w:eastAsia="zh-CN"/>
        </w:rPr>
        <w:t>NaCl</w:t>
      </w:r>
      <w:r>
        <w:rPr>
          <w:rFonts w:hint="eastAsia" w:ascii="宋体" w:hAnsi="宋体" w:eastAsia="宋体" w:cs="宋体"/>
          <w:kern w:val="2"/>
          <w:sz w:val="24"/>
          <w:szCs w:val="24"/>
          <w:lang w:eastAsia="zh-CN"/>
        </w:rPr>
        <w:t>胁迫发芽玉米籽粒富集叶黄素的研究</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方法引用截图</w:t>
      </w:r>
    </w:p>
    <w:p w14:paraId="409A78B6">
      <w:pPr>
        <w:spacing w:line="360" w:lineRule="auto"/>
        <w:ind w:firstLine="480" w:firstLineChars="200"/>
        <w:rPr>
          <w:rFonts w:ascii="Times New Roman" w:hAnsi="Times New Roman" w:cs="Times New Roman"/>
          <w:kern w:val="2"/>
          <w:sz w:val="24"/>
          <w:szCs w:val="24"/>
          <w:lang w:eastAsia="zh-CN"/>
        </w:rPr>
      </w:pPr>
      <w:r>
        <w:rPr>
          <w:rFonts w:ascii="Times New Roman" w:hAnsi="Times New Roman" w:cs="Times New Roman"/>
          <w:kern w:val="2"/>
          <w:sz w:val="24"/>
          <w:szCs w:val="24"/>
          <w:lang w:eastAsia="zh-CN"/>
        </w:rPr>
        <w:t xml:space="preserve">3.2 </w:t>
      </w:r>
      <w:r>
        <w:rPr>
          <w:rFonts w:hint="eastAsia" w:ascii="宋体" w:hAnsi="宋体" w:eastAsia="宋体" w:cs="宋体"/>
          <w:kern w:val="2"/>
          <w:sz w:val="24"/>
          <w:szCs w:val="24"/>
          <w:lang w:eastAsia="zh-CN"/>
        </w:rPr>
        <w:t>对期刊论文</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玉米生产燃料乙醇的发酵品质评价</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引用说明：</w:t>
      </w:r>
    </w:p>
    <w:p w14:paraId="0115ACDF">
      <w:pPr>
        <w:spacing w:line="360" w:lineRule="auto"/>
        <w:ind w:firstLine="480" w:firstLineChars="200"/>
        <w:rPr>
          <w:rFonts w:ascii="Times New Roman" w:hAnsi="Times New Roman" w:cs="Times New Roman"/>
          <w:kern w:val="2"/>
          <w:sz w:val="24"/>
          <w:szCs w:val="24"/>
        </w:rPr>
      </w:pPr>
      <w:r>
        <w:rPr>
          <w:rFonts w:hint="eastAsia" w:ascii="宋体" w:hAnsi="宋体" w:eastAsia="宋体" w:cs="宋体"/>
          <w:kern w:val="2"/>
          <w:sz w:val="24"/>
          <w:szCs w:val="24"/>
          <w:lang w:eastAsia="zh-CN"/>
        </w:rPr>
        <w:t>（</w:t>
      </w:r>
      <w:r>
        <w:rPr>
          <w:rFonts w:ascii="Times New Roman" w:hAnsi="Times New Roman" w:cs="Times New Roman"/>
          <w:kern w:val="2"/>
          <w:sz w:val="24"/>
          <w:szCs w:val="24"/>
          <w:lang w:eastAsia="zh-CN"/>
        </w:rPr>
        <w:t>1</w:t>
      </w:r>
      <w:r>
        <w:rPr>
          <w:rFonts w:hint="eastAsia" w:ascii="宋体" w:hAnsi="宋体" w:eastAsia="宋体" w:cs="宋体"/>
          <w:kern w:val="2"/>
          <w:sz w:val="24"/>
          <w:szCs w:val="24"/>
          <w:lang w:eastAsia="zh-CN"/>
        </w:rPr>
        <w:t>）娄海伟等人的文章</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天然糯玉米淀粉的提取工艺优化</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引用该文献的测试方法。</w:t>
      </w:r>
      <w:r>
        <w:rPr>
          <w:rFonts w:hint="eastAsia" w:ascii="宋体" w:hAnsi="宋体" w:eastAsia="宋体" w:cs="宋体"/>
          <w:kern w:val="2"/>
          <w:sz w:val="24"/>
          <w:szCs w:val="24"/>
        </w:rPr>
        <w:t>如截图</w:t>
      </w:r>
      <w:r>
        <w:rPr>
          <w:rFonts w:ascii="Times New Roman" w:hAnsi="Times New Roman" w:cs="Times New Roman"/>
          <w:kern w:val="2"/>
          <w:sz w:val="24"/>
          <w:szCs w:val="24"/>
        </w:rPr>
        <w:t>5</w:t>
      </w:r>
      <w:r>
        <w:rPr>
          <w:rFonts w:hint="eastAsia" w:ascii="宋体" w:hAnsi="宋体" w:eastAsia="宋体" w:cs="宋体"/>
          <w:kern w:val="2"/>
          <w:sz w:val="24"/>
          <w:szCs w:val="24"/>
        </w:rPr>
        <w:t>所示：</w:t>
      </w:r>
    </w:p>
    <w:p w14:paraId="379596D1">
      <w:pPr>
        <w:spacing w:line="360" w:lineRule="auto"/>
        <w:jc w:val="center"/>
        <w:rPr>
          <w:rFonts w:ascii="Times New Roman" w:hAnsi="Times New Roman" w:cs="Times New Roman"/>
          <w:kern w:val="2"/>
          <w:sz w:val="22"/>
          <w:szCs w:val="22"/>
        </w:rPr>
      </w:pPr>
      <w:r>
        <w:rPr>
          <w:rFonts w:ascii="Times New Roman" w:hAnsi="Times New Roman" w:cs="Times New Roman"/>
          <w:kern w:val="2"/>
          <w:sz w:val="22"/>
          <w:szCs w:val="22"/>
        </w:rPr>
        <w:drawing>
          <wp:inline distT="0" distB="0" distL="0" distR="0">
            <wp:extent cx="3239770" cy="1696720"/>
            <wp:effectExtent l="0" t="0" r="0" b="0"/>
            <wp:docPr id="14870814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081456"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240000" cy="1697143"/>
                    </a:xfrm>
                    <a:prstGeom prst="rect">
                      <a:avLst/>
                    </a:prstGeom>
                    <a:noFill/>
                    <a:ln>
                      <a:noFill/>
                    </a:ln>
                  </pic:spPr>
                </pic:pic>
              </a:graphicData>
            </a:graphic>
          </wp:inline>
        </w:drawing>
      </w:r>
      <w:r>
        <w:rPr>
          <w:rFonts w:ascii="Times New Roman" w:hAnsi="Times New Roman" w:cs="Times New Roman"/>
          <w:kern w:val="2"/>
          <w:sz w:val="22"/>
          <w:szCs w:val="22"/>
        </w:rPr>
        <w:drawing>
          <wp:inline distT="0" distB="0" distL="0" distR="0">
            <wp:extent cx="3239770" cy="304165"/>
            <wp:effectExtent l="0" t="0" r="0" b="635"/>
            <wp:docPr id="8268533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853358"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240000" cy="304286"/>
                    </a:xfrm>
                    <a:prstGeom prst="rect">
                      <a:avLst/>
                    </a:prstGeom>
                    <a:noFill/>
                    <a:ln>
                      <a:noFill/>
                    </a:ln>
                  </pic:spPr>
                </pic:pic>
              </a:graphicData>
            </a:graphic>
          </wp:inline>
        </w:drawing>
      </w:r>
    </w:p>
    <w:p w14:paraId="00C7A56D">
      <w:pPr>
        <w:spacing w:line="360" w:lineRule="auto"/>
        <w:jc w:val="center"/>
        <w:rPr>
          <w:rFonts w:ascii="Times New Roman" w:hAnsi="Times New Roman" w:cs="Times New Roman"/>
          <w:kern w:val="2"/>
          <w:sz w:val="24"/>
          <w:szCs w:val="24"/>
          <w:lang w:eastAsia="zh-CN"/>
        </w:rPr>
      </w:pPr>
      <w:r>
        <w:rPr>
          <w:rFonts w:hint="eastAsia" w:ascii="宋体" w:hAnsi="宋体" w:eastAsia="宋体" w:cs="宋体"/>
          <w:kern w:val="2"/>
          <w:sz w:val="24"/>
          <w:szCs w:val="24"/>
          <w:lang w:eastAsia="zh-CN"/>
        </w:rPr>
        <w:t>截图</w:t>
      </w:r>
      <w:r>
        <w:rPr>
          <w:rFonts w:ascii="Times New Roman" w:hAnsi="Times New Roman" w:cs="Times New Roman"/>
          <w:kern w:val="2"/>
          <w:sz w:val="24"/>
          <w:szCs w:val="24"/>
          <w:lang w:eastAsia="zh-CN"/>
        </w:rPr>
        <w:t xml:space="preserve">5 </w:t>
      </w:r>
      <w:r>
        <w:rPr>
          <w:rFonts w:hint="eastAsia" w:ascii="宋体" w:hAnsi="宋体" w:eastAsia="宋体" w:cs="宋体"/>
          <w:kern w:val="2"/>
          <w:sz w:val="24"/>
          <w:szCs w:val="24"/>
          <w:lang w:eastAsia="zh-CN"/>
        </w:rPr>
        <w:t>期刊论文</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天然糯玉米淀粉的提取工艺优化</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玉米淀粉测定方法引用截图</w:t>
      </w:r>
    </w:p>
    <w:p w14:paraId="0621E8D8">
      <w:pPr>
        <w:spacing w:line="360" w:lineRule="auto"/>
        <w:ind w:firstLine="480" w:firstLineChars="200"/>
        <w:rPr>
          <w:rFonts w:ascii="Times New Roman" w:hAnsi="Times New Roman" w:cs="Times New Roman"/>
          <w:kern w:val="2"/>
          <w:sz w:val="24"/>
          <w:szCs w:val="24"/>
        </w:rPr>
      </w:pPr>
      <w:r>
        <w:rPr>
          <w:rFonts w:hint="eastAsia" w:ascii="宋体" w:hAnsi="宋体" w:eastAsia="宋体" w:cs="宋体"/>
          <w:kern w:val="2"/>
          <w:sz w:val="24"/>
          <w:szCs w:val="24"/>
          <w:lang w:eastAsia="zh-CN"/>
        </w:rPr>
        <w:t>（</w:t>
      </w:r>
      <w:r>
        <w:rPr>
          <w:rFonts w:ascii="Times New Roman" w:hAnsi="Times New Roman" w:cs="Times New Roman"/>
          <w:kern w:val="2"/>
          <w:sz w:val="24"/>
          <w:szCs w:val="24"/>
          <w:lang w:eastAsia="zh-CN"/>
        </w:rPr>
        <w:t>2</w:t>
      </w:r>
      <w:r>
        <w:rPr>
          <w:rFonts w:hint="eastAsia" w:ascii="宋体" w:hAnsi="宋体" w:eastAsia="宋体" w:cs="宋体"/>
          <w:kern w:val="2"/>
          <w:sz w:val="24"/>
          <w:szCs w:val="24"/>
          <w:lang w:eastAsia="zh-CN"/>
        </w:rPr>
        <w:t>）王媛的硕士学位论文</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糯玉米淀粉的提取、理化特性及其对水饺皮和挂面品质影响的研究</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引用该文献的测试方法。</w:t>
      </w:r>
      <w:r>
        <w:rPr>
          <w:rFonts w:hint="eastAsia" w:ascii="宋体" w:hAnsi="宋体" w:eastAsia="宋体" w:cs="宋体"/>
          <w:kern w:val="2"/>
          <w:sz w:val="24"/>
          <w:szCs w:val="24"/>
        </w:rPr>
        <w:t>如截图</w:t>
      </w:r>
      <w:r>
        <w:rPr>
          <w:rFonts w:ascii="Times New Roman" w:hAnsi="Times New Roman" w:cs="Times New Roman"/>
          <w:kern w:val="2"/>
          <w:sz w:val="24"/>
          <w:szCs w:val="24"/>
        </w:rPr>
        <w:t>6</w:t>
      </w:r>
      <w:r>
        <w:rPr>
          <w:rFonts w:hint="eastAsia" w:ascii="宋体" w:hAnsi="宋体" w:eastAsia="宋体" w:cs="宋体"/>
          <w:kern w:val="2"/>
          <w:sz w:val="24"/>
          <w:szCs w:val="24"/>
        </w:rPr>
        <w:t>所示：</w:t>
      </w:r>
    </w:p>
    <w:p w14:paraId="5DEE5A52">
      <w:pPr>
        <w:spacing w:line="360" w:lineRule="auto"/>
        <w:jc w:val="center"/>
        <w:rPr>
          <w:rFonts w:ascii="Times New Roman" w:hAnsi="Times New Roman" w:cs="Times New Roman"/>
          <w:kern w:val="2"/>
          <w:sz w:val="22"/>
          <w:szCs w:val="22"/>
        </w:rPr>
      </w:pPr>
      <w:r>
        <w:rPr>
          <w:rFonts w:ascii="Times New Roman" w:hAnsi="Times New Roman" w:cs="Times New Roman"/>
          <w:kern w:val="2"/>
          <w:sz w:val="22"/>
          <w:szCs w:val="22"/>
        </w:rPr>
        <w:drawing>
          <wp:inline distT="0" distB="0" distL="0" distR="0">
            <wp:extent cx="3959860" cy="804545"/>
            <wp:effectExtent l="0" t="0" r="2540" b="0"/>
            <wp:docPr id="121704808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048089" name="图片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960000" cy="804921"/>
                    </a:xfrm>
                    <a:prstGeom prst="rect">
                      <a:avLst/>
                    </a:prstGeom>
                    <a:noFill/>
                    <a:ln>
                      <a:noFill/>
                    </a:ln>
                  </pic:spPr>
                </pic:pic>
              </a:graphicData>
            </a:graphic>
          </wp:inline>
        </w:drawing>
      </w:r>
    </w:p>
    <w:p w14:paraId="1C0BD570">
      <w:pPr>
        <w:spacing w:line="360" w:lineRule="auto"/>
        <w:jc w:val="center"/>
        <w:rPr>
          <w:rFonts w:ascii="Times New Roman" w:hAnsi="Times New Roman" w:cs="Times New Roman"/>
          <w:kern w:val="2"/>
          <w:sz w:val="22"/>
          <w:szCs w:val="22"/>
        </w:rPr>
      </w:pPr>
      <w:r>
        <w:rPr>
          <w:rFonts w:ascii="Times New Roman" w:hAnsi="Times New Roman" w:cs="Times New Roman"/>
          <w:kern w:val="2"/>
          <w:sz w:val="22"/>
          <w:szCs w:val="22"/>
        </w:rPr>
        <w:drawing>
          <wp:inline distT="0" distB="0" distL="0" distR="0">
            <wp:extent cx="3959860" cy="353060"/>
            <wp:effectExtent l="0" t="0" r="2540" b="8890"/>
            <wp:docPr id="11674560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456033" name="图片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960000" cy="353572"/>
                    </a:xfrm>
                    <a:prstGeom prst="rect">
                      <a:avLst/>
                    </a:prstGeom>
                    <a:noFill/>
                    <a:ln>
                      <a:noFill/>
                    </a:ln>
                  </pic:spPr>
                </pic:pic>
              </a:graphicData>
            </a:graphic>
          </wp:inline>
        </w:drawing>
      </w:r>
    </w:p>
    <w:p w14:paraId="05629BE7">
      <w:pPr>
        <w:spacing w:line="360" w:lineRule="auto"/>
        <w:jc w:val="center"/>
        <w:rPr>
          <w:rFonts w:hint="eastAsia" w:ascii="Times New Roman" w:hAnsi="Times New Roman" w:cs="Times New Roman" w:eastAsiaTheme="minorEastAsia"/>
          <w:kern w:val="2"/>
          <w:sz w:val="24"/>
          <w:szCs w:val="24"/>
          <w:lang w:eastAsia="zh-CN"/>
        </w:rPr>
      </w:pPr>
      <w:r>
        <w:rPr>
          <w:rFonts w:hint="eastAsia" w:ascii="宋体" w:hAnsi="宋体" w:eastAsia="宋体" w:cs="宋体"/>
          <w:kern w:val="2"/>
          <w:sz w:val="24"/>
          <w:szCs w:val="24"/>
          <w:lang w:eastAsia="zh-CN"/>
        </w:rPr>
        <w:t>截图</w:t>
      </w:r>
      <w:r>
        <w:rPr>
          <w:rFonts w:ascii="Times New Roman" w:hAnsi="Times New Roman" w:cs="Times New Roman"/>
          <w:kern w:val="2"/>
          <w:sz w:val="24"/>
          <w:szCs w:val="24"/>
          <w:lang w:eastAsia="zh-CN"/>
        </w:rPr>
        <w:t xml:space="preserve">6 </w:t>
      </w:r>
      <w:r>
        <w:rPr>
          <w:rFonts w:hint="eastAsia" w:ascii="宋体" w:hAnsi="宋体" w:eastAsia="宋体" w:cs="宋体"/>
          <w:kern w:val="2"/>
          <w:sz w:val="24"/>
          <w:szCs w:val="24"/>
          <w:lang w:eastAsia="zh-CN"/>
        </w:rPr>
        <w:t>硕士学位论文</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糯玉米淀粉的提取、理化特性及其对水饺皮和挂面品质影响的研究</w:t>
      </w:r>
      <w:r>
        <w:rPr>
          <w:rFonts w:ascii="Times New Roman" w:hAnsi="Times New Roman" w:cs="Times New Roman"/>
          <w:kern w:val="2"/>
          <w:sz w:val="24"/>
          <w:szCs w:val="24"/>
          <w:lang w:eastAsia="zh-CN"/>
        </w:rPr>
        <w:t>”</w:t>
      </w:r>
      <w:r>
        <w:rPr>
          <w:rFonts w:hint="eastAsia" w:ascii="宋体" w:hAnsi="宋体" w:eastAsia="宋体" w:cs="宋体"/>
          <w:kern w:val="2"/>
          <w:sz w:val="24"/>
          <w:szCs w:val="24"/>
          <w:lang w:eastAsia="zh-CN"/>
        </w:rPr>
        <w:t>中玉米淀粉测定方法引用截图</w:t>
      </w:r>
    </w:p>
    <w:p w14:paraId="3303A351">
      <w:pPr>
        <w:widowControl w:val="0"/>
        <w:kinsoku/>
        <w:autoSpaceDE/>
        <w:autoSpaceDN/>
        <w:spacing w:line="500" w:lineRule="exact"/>
        <w:ind w:firstLine="562" w:firstLineChars="200"/>
        <w:jc w:val="both"/>
        <w:textAlignment w:val="auto"/>
        <w:rPr>
          <w:rFonts w:ascii="Times New Roman" w:hAnsi="Times New Roman" w:eastAsia="仿宋_GB2312" w:cs="Times New Roman"/>
          <w:b/>
          <w:sz w:val="28"/>
          <w:szCs w:val="28"/>
          <w:lang w:eastAsia="zh-CN"/>
        </w:rPr>
      </w:pPr>
      <w:r>
        <w:rPr>
          <w:rFonts w:ascii="Times New Roman" w:hAnsi="Times New Roman" w:eastAsia="仿宋_GB2312" w:cs="Times New Roman"/>
          <w:b/>
          <w:sz w:val="28"/>
          <w:szCs w:val="28"/>
          <w:lang w:eastAsia="zh-CN"/>
        </w:rPr>
        <w:t>10.附录</w:t>
      </w:r>
      <w:r>
        <w:rPr>
          <w:rFonts w:ascii="Times New Roman" w:hAnsi="Times New Roman" w:eastAsia="仿宋_GB2312" w:cs="Times New Roman"/>
          <w:sz w:val="28"/>
          <w:szCs w:val="28"/>
          <w:lang w:eastAsia="zh-CN"/>
        </w:rPr>
        <w:t>（如没有，写“无”）</w:t>
      </w:r>
    </w:p>
    <w:p w14:paraId="2D9D2F52">
      <w:pPr>
        <w:widowControl w:val="0"/>
        <w:kinsoku/>
        <w:autoSpaceDE/>
        <w:autoSpaceDN/>
        <w:spacing w:line="500" w:lineRule="exact"/>
        <w:ind w:firstLine="480" w:firstLineChars="20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1.</w:t>
      </w:r>
      <w:r>
        <w:rPr>
          <w:rFonts w:hint="eastAsia" w:ascii="Times New Roman" w:hAnsi="Times New Roman" w:eastAsia="宋体" w:cs="Times New Roman"/>
          <w:sz w:val="24"/>
          <w:szCs w:val="24"/>
          <w:lang w:eastAsia="zh-CN"/>
        </w:rPr>
        <w:t xml:space="preserve"> </w:t>
      </w:r>
      <w:r>
        <w:rPr>
          <w:rFonts w:ascii="Times New Roman" w:hAnsi="Times New Roman" w:eastAsia="宋体" w:cs="Times New Roman"/>
          <w:sz w:val="24"/>
          <w:szCs w:val="24"/>
          <w:lang w:eastAsia="zh-CN"/>
        </w:rPr>
        <w:t>附件1：“采用不同标准方法测定玉米样品中淀粉含量的对比研究”论文首页</w:t>
      </w:r>
    </w:p>
    <w:p w14:paraId="26797605">
      <w:pPr>
        <w:widowControl w:val="0"/>
        <w:kinsoku/>
        <w:autoSpaceDE/>
        <w:autoSpaceDN/>
        <w:spacing w:line="500" w:lineRule="exact"/>
        <w:ind w:firstLine="480" w:firstLineChars="20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2.</w:t>
      </w:r>
      <w:r>
        <w:rPr>
          <w:rFonts w:hint="eastAsia" w:ascii="Times New Roman" w:hAnsi="Times New Roman" w:eastAsia="宋体" w:cs="Times New Roman"/>
          <w:sz w:val="24"/>
          <w:szCs w:val="24"/>
          <w:lang w:eastAsia="zh-CN"/>
        </w:rPr>
        <w:t xml:space="preserve"> </w:t>
      </w:r>
      <w:r>
        <w:rPr>
          <w:rFonts w:ascii="Times New Roman" w:hAnsi="Times New Roman" w:eastAsia="宋体" w:cs="Times New Roman"/>
          <w:sz w:val="24"/>
          <w:szCs w:val="24"/>
          <w:lang w:eastAsia="zh-CN"/>
        </w:rPr>
        <w:t>附件2</w:t>
      </w:r>
      <w:r>
        <w:rPr>
          <w:rFonts w:hint="eastAsia" w:ascii="Times New Roman" w:hAnsi="Times New Roman" w:eastAsia="宋体" w:cs="Times New Roman"/>
          <w:sz w:val="24"/>
          <w:szCs w:val="24"/>
          <w:lang w:eastAsia="zh-CN"/>
        </w:rPr>
        <w:t>：“</w:t>
      </w:r>
      <w:r>
        <w:rPr>
          <w:rFonts w:hint="eastAsia" w:ascii="宋体" w:hAnsi="宋体" w:eastAsia="宋体" w:cs="宋体"/>
          <w:kern w:val="2"/>
          <w:sz w:val="24"/>
          <w:szCs w:val="24"/>
          <w:lang w:eastAsia="zh-CN"/>
        </w:rPr>
        <w:t>玉米生产燃料乙醇的发酵品质评价</w:t>
      </w:r>
      <w:r>
        <w:rPr>
          <w:rFonts w:ascii="Times New Roman" w:hAnsi="Times New Roman" w:eastAsia="宋体" w:cs="Times New Roman"/>
          <w:sz w:val="24"/>
          <w:szCs w:val="24"/>
          <w:lang w:eastAsia="zh-CN"/>
        </w:rPr>
        <w:t>”论文首页</w:t>
      </w:r>
    </w:p>
    <w:p w14:paraId="22568E93">
      <w:pPr>
        <w:widowControl w:val="0"/>
        <w:kinsoku/>
        <w:autoSpaceDE/>
        <w:autoSpaceDN/>
        <w:spacing w:line="500" w:lineRule="exact"/>
        <w:ind w:firstLine="480" w:firstLineChars="200"/>
        <w:jc w:val="both"/>
        <w:textAlignment w:val="auto"/>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3.</w:t>
      </w:r>
      <w:r>
        <w:rPr>
          <w:rFonts w:hint="eastAsia" w:ascii="Times New Roman" w:hAnsi="Times New Roman" w:eastAsia="宋体" w:cs="Times New Roman"/>
          <w:sz w:val="24"/>
          <w:szCs w:val="24"/>
          <w:lang w:eastAsia="zh-CN"/>
        </w:rPr>
        <w:t xml:space="preserve"> </w:t>
      </w:r>
      <w:r>
        <w:rPr>
          <w:rFonts w:ascii="Times New Roman" w:hAnsi="Times New Roman" w:eastAsia="宋体" w:cs="Times New Roman"/>
          <w:sz w:val="24"/>
          <w:szCs w:val="24"/>
          <w:lang w:eastAsia="zh-CN"/>
        </w:rPr>
        <w:t>附件3</w:t>
      </w:r>
      <w:r>
        <w:rPr>
          <w:rFonts w:hint="eastAsia" w:ascii="Times New Roman" w:hAnsi="Times New Roman" w:eastAsia="宋体" w:cs="Times New Roman"/>
          <w:sz w:val="24"/>
          <w:szCs w:val="24"/>
          <w:lang w:eastAsia="zh-CN"/>
        </w:rPr>
        <w:t>：“</w:t>
      </w:r>
      <w:r>
        <w:rPr>
          <w:rFonts w:hint="eastAsia" w:ascii="宋体" w:hAnsi="宋体" w:eastAsia="宋体" w:cs="宋体"/>
          <w:kern w:val="2"/>
          <w:sz w:val="24"/>
          <w:szCs w:val="24"/>
          <w:lang w:eastAsia="zh-CN"/>
        </w:rPr>
        <w:t>小麦加工谷朊粉的适用性评价</w:t>
      </w:r>
      <w:r>
        <w:rPr>
          <w:rFonts w:ascii="Times New Roman" w:hAnsi="Times New Roman" w:eastAsia="宋体" w:cs="Times New Roman"/>
          <w:sz w:val="24"/>
          <w:szCs w:val="24"/>
          <w:lang w:eastAsia="zh-CN"/>
        </w:rPr>
        <w:t>”</w:t>
      </w:r>
      <w:r>
        <w:rPr>
          <w:rFonts w:hint="eastAsia" w:ascii="Times New Roman" w:hAnsi="Times New Roman" w:eastAsia="宋体" w:cs="Times New Roman"/>
          <w:sz w:val="24"/>
          <w:szCs w:val="24"/>
          <w:lang w:eastAsia="zh-CN"/>
        </w:rPr>
        <w:t>学位</w:t>
      </w:r>
      <w:r>
        <w:rPr>
          <w:rFonts w:ascii="Times New Roman" w:hAnsi="Times New Roman" w:eastAsia="宋体" w:cs="Times New Roman"/>
          <w:sz w:val="24"/>
          <w:szCs w:val="24"/>
          <w:lang w:eastAsia="zh-CN"/>
        </w:rPr>
        <w:t>论文首页</w:t>
      </w:r>
    </w:p>
    <w:p w14:paraId="05F75270">
      <w:pPr>
        <w:widowControl w:val="0"/>
        <w:kinsoku/>
        <w:autoSpaceDE/>
        <w:autoSpaceDN/>
        <w:spacing w:line="500" w:lineRule="exact"/>
        <w:ind w:firstLine="480" w:firstLineChars="200"/>
        <w:jc w:val="both"/>
        <w:textAlignment w:val="auto"/>
        <w:rPr>
          <w:rFonts w:ascii="Times New Roman" w:hAnsi="Times New Roman" w:eastAsia="仿宋_GB2312" w:cs="Times New Roman"/>
          <w:sz w:val="24"/>
          <w:szCs w:val="24"/>
          <w:lang w:eastAsia="zh-CN"/>
        </w:rPr>
      </w:pPr>
      <w:r>
        <w:rPr>
          <w:rFonts w:ascii="Times New Roman" w:hAnsi="Times New Roman" w:eastAsia="宋体" w:cs="Times New Roman"/>
          <w:sz w:val="24"/>
          <w:szCs w:val="24"/>
          <w:lang w:eastAsia="zh-CN"/>
        </w:rPr>
        <w:t>4.</w:t>
      </w:r>
      <w:r>
        <w:rPr>
          <w:rFonts w:hint="eastAsia" w:ascii="Times New Roman" w:hAnsi="Times New Roman" w:eastAsia="宋体" w:cs="Times New Roman"/>
          <w:sz w:val="24"/>
          <w:szCs w:val="24"/>
          <w:lang w:eastAsia="zh-CN"/>
        </w:rPr>
        <w:t xml:space="preserve"> </w:t>
      </w:r>
      <w:r>
        <w:rPr>
          <w:rFonts w:ascii="Times New Roman" w:hAnsi="Times New Roman" w:eastAsia="宋体" w:cs="Times New Roman"/>
          <w:sz w:val="24"/>
          <w:szCs w:val="24"/>
          <w:lang w:eastAsia="zh-CN"/>
        </w:rPr>
        <w:t>附件4</w:t>
      </w:r>
      <w:r>
        <w:rPr>
          <w:rFonts w:hint="eastAsia" w:ascii="Times New Roman" w:hAnsi="Times New Roman" w:eastAsia="宋体" w:cs="Times New Roman"/>
          <w:sz w:val="24"/>
          <w:szCs w:val="24"/>
          <w:lang w:eastAsia="zh-CN"/>
        </w:rPr>
        <w:t>：“</w:t>
      </w:r>
      <w:r>
        <w:rPr>
          <w:rFonts w:hint="eastAsia" w:ascii="宋体" w:hAnsi="宋体" w:eastAsia="宋体" w:cs="宋体"/>
          <w:kern w:val="2"/>
          <w:sz w:val="24"/>
          <w:szCs w:val="24"/>
          <w:lang w:eastAsia="zh-CN"/>
        </w:rPr>
        <w:t>甘薯生产燃料乙醇的发酵品质评价研究</w:t>
      </w:r>
      <w:r>
        <w:rPr>
          <w:rFonts w:ascii="Times New Roman" w:hAnsi="Times New Roman" w:eastAsia="宋体" w:cs="Times New Roman"/>
          <w:sz w:val="24"/>
          <w:szCs w:val="24"/>
          <w:lang w:eastAsia="zh-CN"/>
        </w:rPr>
        <w:t>”</w:t>
      </w:r>
      <w:r>
        <w:rPr>
          <w:rFonts w:hint="eastAsia" w:ascii="Times New Roman" w:hAnsi="Times New Roman" w:eastAsia="宋体" w:cs="Times New Roman"/>
          <w:sz w:val="24"/>
          <w:szCs w:val="24"/>
          <w:lang w:eastAsia="zh-CN"/>
        </w:rPr>
        <w:t>学位</w:t>
      </w:r>
      <w:r>
        <w:rPr>
          <w:rFonts w:ascii="Times New Roman" w:hAnsi="Times New Roman" w:eastAsia="宋体" w:cs="Times New Roman"/>
          <w:sz w:val="24"/>
          <w:szCs w:val="24"/>
          <w:lang w:eastAsia="zh-CN"/>
        </w:rPr>
        <w:t>论文首页</w:t>
      </w:r>
    </w:p>
    <w:p w14:paraId="1A6D7D7C">
      <w:pPr>
        <w:widowControl w:val="0"/>
        <w:kinsoku/>
        <w:autoSpaceDE/>
        <w:autoSpaceDN/>
        <w:spacing w:line="500" w:lineRule="exact"/>
        <w:jc w:val="both"/>
        <w:textAlignment w:val="auto"/>
        <w:rPr>
          <w:rFonts w:hint="eastAsia" w:ascii="Times New Roman" w:hAnsi="Times New Roman" w:eastAsia="仿宋_GB2312" w:cs="Times New Roman"/>
          <w:sz w:val="28"/>
          <w:szCs w:val="28"/>
          <w:lang w:eastAsia="zh-CN"/>
        </w:rPr>
      </w:pPr>
    </w:p>
    <w:p w14:paraId="7573B38C">
      <w:pPr>
        <w:widowControl w:val="0"/>
        <w:kinsoku/>
        <w:autoSpaceDE/>
        <w:autoSpaceDN/>
        <w:spacing w:line="500" w:lineRule="exact"/>
        <w:ind w:firstLine="560" w:firstLineChars="200"/>
        <w:jc w:val="right"/>
        <w:textAlignment w:val="auto"/>
        <w:rPr>
          <w:rFonts w:ascii="Times New Roman" w:hAnsi="Times New Roman" w:eastAsia="仿宋_GB2312" w:cs="Times New Roman"/>
          <w:sz w:val="28"/>
          <w:szCs w:val="28"/>
          <w:lang w:eastAsia="zh-CN"/>
        </w:rPr>
      </w:pPr>
      <w:r>
        <w:rPr>
          <w:rFonts w:ascii="Times New Roman" w:hAnsi="Times New Roman" w:eastAsia="仿宋_GB2312" w:cs="Times New Roman"/>
          <w:sz w:val="28"/>
          <w:szCs w:val="28"/>
          <w:lang w:eastAsia="zh-CN"/>
        </w:rPr>
        <w:t>《粮食中总淀粉含量的测定-双酶法》团体标准起草组</w:t>
      </w:r>
    </w:p>
    <w:p w14:paraId="72BBE6DC">
      <w:pPr>
        <w:widowControl w:val="0"/>
        <w:kinsoku/>
        <w:autoSpaceDE/>
        <w:autoSpaceDN/>
        <w:spacing w:line="500" w:lineRule="exact"/>
        <w:ind w:firstLine="560" w:firstLineChars="200"/>
        <w:jc w:val="center"/>
        <w:textAlignment w:val="auto"/>
        <w:rPr>
          <w:rFonts w:ascii="Times New Roman" w:hAnsi="Times New Roman" w:eastAsia="仿宋_GB2312" w:cs="Times New Roman"/>
          <w:sz w:val="28"/>
          <w:szCs w:val="28"/>
          <w:lang w:eastAsia="zh-CN"/>
        </w:rPr>
      </w:pPr>
      <w:r>
        <w:rPr>
          <w:rFonts w:ascii="Times New Roman" w:hAnsi="Times New Roman" w:eastAsia="仿宋_GB2312" w:cs="Times New Roman"/>
          <w:sz w:val="28"/>
          <w:szCs w:val="28"/>
          <w:lang w:eastAsia="zh-CN"/>
        </w:rPr>
        <w:t xml:space="preserve">                            2026年 03 月 21 日</w:t>
      </w:r>
    </w:p>
    <w:p w14:paraId="587C8E01">
      <w:pPr>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br w:type="page"/>
      </w:r>
    </w:p>
    <w:p w14:paraId="0031FEC0">
      <w:pPr>
        <w:rPr>
          <w:rFonts w:hint="eastAsia" w:ascii="Times New Roman" w:hAnsi="Times New Roman" w:eastAsia="宋体" w:cs="Times New Roman"/>
          <w:sz w:val="24"/>
          <w:szCs w:val="24"/>
          <w:lang w:eastAsia="zh-CN"/>
        </w:rPr>
      </w:pPr>
      <w:bookmarkStart w:id="7" w:name="_GoBack"/>
      <w:bookmarkEnd w:id="7"/>
      <w:r>
        <w:rPr>
          <w:rFonts w:hint="eastAsia" w:ascii="Times New Roman" w:hAnsi="Times New Roman" w:eastAsia="宋体" w:cs="Times New Roman"/>
          <w:sz w:val="24"/>
          <w:szCs w:val="24"/>
          <w:lang w:eastAsia="zh-CN"/>
        </w:rPr>
        <w:t>附件1：</w:t>
      </w:r>
      <w:r>
        <w:rPr>
          <w:rFonts w:ascii="Times New Roman" w:hAnsi="Times New Roman" w:eastAsia="宋体" w:cs="Times New Roman"/>
          <w:sz w:val="24"/>
          <w:szCs w:val="24"/>
          <w:lang w:eastAsia="zh-CN"/>
        </w:rPr>
        <w:t>“采用不同标准方法测定玉米样品中淀粉含量的对比研究”论文首页</w:t>
      </w:r>
    </w:p>
    <w:p w14:paraId="31843586">
      <w:pPr>
        <w:rPr>
          <w:rFonts w:ascii="Times New Roman" w:hAnsi="Times New Roman" w:cs="Times New Roman" w:eastAsiaTheme="minorEastAsia"/>
          <w:lang w:eastAsia="zh-CN"/>
        </w:rPr>
      </w:pPr>
      <w:r>
        <w:drawing>
          <wp:inline distT="0" distB="0" distL="0" distR="0">
            <wp:extent cx="5615940" cy="7876540"/>
            <wp:effectExtent l="0" t="0" r="3810" b="0"/>
            <wp:docPr id="13894051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405190" name="图片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615940" cy="7876540"/>
                    </a:xfrm>
                    <a:prstGeom prst="rect">
                      <a:avLst/>
                    </a:prstGeom>
                    <a:noFill/>
                    <a:ln>
                      <a:noFill/>
                    </a:ln>
                  </pic:spPr>
                </pic:pic>
              </a:graphicData>
            </a:graphic>
          </wp:inline>
        </w:drawing>
      </w:r>
    </w:p>
    <w:p w14:paraId="16D8062B">
      <w:pPr>
        <w:rPr>
          <w:rFonts w:ascii="Times New Roman" w:hAnsi="Times New Roman" w:cs="Times New Roman" w:eastAsiaTheme="minorEastAsia"/>
          <w:lang w:eastAsia="zh-CN"/>
        </w:rPr>
      </w:pPr>
    </w:p>
    <w:p w14:paraId="3090409B">
      <w:pPr>
        <w:rPr>
          <w:rFonts w:ascii="Times New Roman" w:hAnsi="Times New Roman" w:cs="Times New Roman" w:eastAsiaTheme="minorEastAsia"/>
          <w:lang w:eastAsia="zh-CN"/>
        </w:rPr>
      </w:pPr>
    </w:p>
    <w:p w14:paraId="24A6DCDC">
      <w:pPr>
        <w:rPr>
          <w:rFonts w:hint="eastAsia"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附件2</w:t>
      </w:r>
      <w:r>
        <w:rPr>
          <w:rFonts w:hint="eastAsia" w:ascii="Times New Roman" w:hAnsi="Times New Roman" w:eastAsia="宋体" w:cs="Times New Roman"/>
          <w:sz w:val="24"/>
          <w:szCs w:val="24"/>
          <w:lang w:eastAsia="zh-CN"/>
        </w:rPr>
        <w:t>：“玉米生产燃料乙醇的发酵品质评价</w:t>
      </w:r>
      <w:r>
        <w:rPr>
          <w:rFonts w:ascii="Times New Roman" w:hAnsi="Times New Roman" w:eastAsia="宋体" w:cs="Times New Roman"/>
          <w:sz w:val="24"/>
          <w:szCs w:val="24"/>
          <w:lang w:eastAsia="zh-CN"/>
        </w:rPr>
        <w:t>”论文首页</w:t>
      </w:r>
    </w:p>
    <w:p w14:paraId="31495741">
      <w:pPr>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drawing>
          <wp:inline distT="0" distB="0" distL="0" distR="0">
            <wp:extent cx="5615940" cy="7942580"/>
            <wp:effectExtent l="0" t="0" r="3810" b="1270"/>
            <wp:docPr id="12276865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686540" name="图片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615940" cy="7942580"/>
                    </a:xfrm>
                    <a:prstGeom prst="rect">
                      <a:avLst/>
                    </a:prstGeom>
                    <a:noFill/>
                    <a:ln>
                      <a:noFill/>
                    </a:ln>
                  </pic:spPr>
                </pic:pic>
              </a:graphicData>
            </a:graphic>
          </wp:inline>
        </w:drawing>
      </w:r>
    </w:p>
    <w:p w14:paraId="4B868DB0">
      <w:pPr>
        <w:rPr>
          <w:rFonts w:ascii="Times New Roman" w:hAnsi="Times New Roman" w:cs="Times New Roman" w:eastAsiaTheme="minorEastAsia"/>
          <w:lang w:eastAsia="zh-CN"/>
        </w:rPr>
      </w:pPr>
    </w:p>
    <w:p w14:paraId="1FD7B6E4">
      <w:pPr>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附件3</w:t>
      </w:r>
      <w:r>
        <w:rPr>
          <w:rFonts w:hint="eastAsia" w:ascii="Times New Roman" w:hAnsi="Times New Roman" w:eastAsia="宋体" w:cs="Times New Roman"/>
          <w:sz w:val="24"/>
          <w:szCs w:val="24"/>
          <w:lang w:eastAsia="zh-CN"/>
        </w:rPr>
        <w:t>：“小麦加工谷朊粉的适用性评价</w:t>
      </w:r>
      <w:r>
        <w:rPr>
          <w:rFonts w:ascii="Times New Roman" w:hAnsi="Times New Roman" w:eastAsia="宋体" w:cs="Times New Roman"/>
          <w:sz w:val="24"/>
          <w:szCs w:val="24"/>
          <w:lang w:eastAsia="zh-CN"/>
        </w:rPr>
        <w:t>”</w:t>
      </w:r>
      <w:r>
        <w:rPr>
          <w:rFonts w:hint="eastAsia" w:ascii="Times New Roman" w:hAnsi="Times New Roman" w:eastAsia="宋体" w:cs="Times New Roman"/>
          <w:sz w:val="24"/>
          <w:szCs w:val="24"/>
          <w:lang w:eastAsia="zh-CN"/>
        </w:rPr>
        <w:t>学位</w:t>
      </w:r>
      <w:r>
        <w:rPr>
          <w:rFonts w:ascii="Times New Roman" w:hAnsi="Times New Roman" w:eastAsia="宋体" w:cs="Times New Roman"/>
          <w:sz w:val="24"/>
          <w:szCs w:val="24"/>
          <w:lang w:eastAsia="zh-CN"/>
        </w:rPr>
        <w:t>论文首页</w:t>
      </w:r>
    </w:p>
    <w:p w14:paraId="7E1C537E">
      <w:pPr>
        <w:rPr>
          <w:rFonts w:ascii="Times New Roman" w:hAnsi="Times New Roman" w:cs="Times New Roman" w:eastAsiaTheme="minorEastAsia"/>
          <w:lang w:eastAsia="zh-CN"/>
        </w:rPr>
      </w:pPr>
      <w:r>
        <w:rPr>
          <w:rFonts w:ascii="Times New Roman" w:hAnsi="Times New Roman" w:cs="Times New Roman" w:eastAsiaTheme="minorEastAsia"/>
          <w:lang w:eastAsia="zh-CN"/>
        </w:rPr>
        <w:drawing>
          <wp:inline distT="0" distB="0" distL="0" distR="0">
            <wp:extent cx="5615940" cy="7908925"/>
            <wp:effectExtent l="0" t="0" r="3810" b="0"/>
            <wp:docPr id="20928281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828170" name="图片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615940" cy="7908925"/>
                    </a:xfrm>
                    <a:prstGeom prst="rect">
                      <a:avLst/>
                    </a:prstGeom>
                    <a:noFill/>
                    <a:ln>
                      <a:noFill/>
                    </a:ln>
                  </pic:spPr>
                </pic:pic>
              </a:graphicData>
            </a:graphic>
          </wp:inline>
        </w:drawing>
      </w:r>
    </w:p>
    <w:p w14:paraId="11E0ED66">
      <w:pPr>
        <w:rPr>
          <w:rFonts w:ascii="Times New Roman" w:hAnsi="Times New Roman" w:cs="Times New Roman" w:eastAsiaTheme="minorEastAsia"/>
          <w:lang w:eastAsia="zh-CN"/>
        </w:rPr>
      </w:pPr>
    </w:p>
    <w:p w14:paraId="098E59D4">
      <w:pPr>
        <w:rPr>
          <w:rFonts w:ascii="Times New Roman" w:hAnsi="Times New Roman" w:eastAsia="宋体" w:cs="Times New Roman"/>
          <w:sz w:val="24"/>
          <w:szCs w:val="24"/>
          <w:lang w:eastAsia="zh-CN"/>
        </w:rPr>
      </w:pPr>
      <w:r>
        <w:rPr>
          <w:rFonts w:ascii="Times New Roman" w:hAnsi="Times New Roman" w:eastAsia="宋体" w:cs="Times New Roman"/>
          <w:sz w:val="24"/>
          <w:szCs w:val="24"/>
          <w:lang w:eastAsia="zh-CN"/>
        </w:rPr>
        <w:t>附件4</w:t>
      </w:r>
      <w:r>
        <w:rPr>
          <w:rFonts w:hint="eastAsia" w:ascii="Times New Roman" w:hAnsi="Times New Roman" w:eastAsia="宋体" w:cs="Times New Roman"/>
          <w:sz w:val="24"/>
          <w:szCs w:val="24"/>
          <w:lang w:eastAsia="zh-CN"/>
        </w:rPr>
        <w:t>：“甘薯生产燃料乙醇的发酵品质评价研究</w:t>
      </w:r>
      <w:r>
        <w:rPr>
          <w:rFonts w:ascii="Times New Roman" w:hAnsi="Times New Roman" w:eastAsia="宋体" w:cs="Times New Roman"/>
          <w:sz w:val="24"/>
          <w:szCs w:val="24"/>
          <w:lang w:eastAsia="zh-CN"/>
        </w:rPr>
        <w:t>”</w:t>
      </w:r>
      <w:r>
        <w:rPr>
          <w:rFonts w:hint="eastAsia" w:ascii="Times New Roman" w:hAnsi="Times New Roman" w:eastAsia="宋体" w:cs="Times New Roman"/>
          <w:sz w:val="24"/>
          <w:szCs w:val="24"/>
          <w:lang w:eastAsia="zh-CN"/>
        </w:rPr>
        <w:t>学位</w:t>
      </w:r>
      <w:r>
        <w:rPr>
          <w:rFonts w:ascii="Times New Roman" w:hAnsi="Times New Roman" w:eastAsia="宋体" w:cs="Times New Roman"/>
          <w:sz w:val="24"/>
          <w:szCs w:val="24"/>
          <w:lang w:eastAsia="zh-CN"/>
        </w:rPr>
        <w:t>论文首页</w:t>
      </w:r>
    </w:p>
    <w:p w14:paraId="149E604B">
      <w:pPr>
        <w:rPr>
          <w:rFonts w:hint="eastAsia" w:ascii="Times New Roman" w:hAnsi="Times New Roman" w:cs="Times New Roman" w:eastAsiaTheme="minorEastAsia"/>
          <w:lang w:eastAsia="zh-CN"/>
        </w:rPr>
      </w:pPr>
      <w:r>
        <w:rPr>
          <w:rFonts w:ascii="Times New Roman" w:hAnsi="Times New Roman" w:cs="Times New Roman" w:eastAsiaTheme="minorEastAsia"/>
          <w:lang w:eastAsia="zh-CN"/>
        </w:rPr>
        <w:drawing>
          <wp:inline distT="0" distB="0" distL="0" distR="0">
            <wp:extent cx="5615940" cy="7900035"/>
            <wp:effectExtent l="0" t="0" r="3810" b="5715"/>
            <wp:docPr id="1960933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93345"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615940" cy="7900035"/>
                    </a:xfrm>
                    <a:prstGeom prst="rect">
                      <a:avLst/>
                    </a:prstGeom>
                    <a:noFill/>
                    <a:ln>
                      <a:noFill/>
                    </a:ln>
                  </pic:spPr>
                </pic:pic>
              </a:graphicData>
            </a:graphic>
          </wp:inline>
        </w:drawing>
      </w:r>
    </w:p>
    <w:sectPr>
      <w:pgSz w:w="11906" w:h="16838"/>
      <w:pgMar w:top="2098" w:right="1531" w:bottom="1531" w:left="153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9069A179-5CF6-42AA-9582-0B0AE5B8CD19}"/>
  </w:font>
  <w:font w:name="黑体">
    <w:panose1 w:val="02010609060101010101"/>
    <w:charset w:val="86"/>
    <w:family w:val="auto"/>
    <w:pitch w:val="default"/>
    <w:sig w:usb0="800002BF" w:usb1="38CF7CFA" w:usb2="00000016" w:usb3="00000000" w:csb0="00040001" w:csb1="00000000"/>
    <w:embedRegular r:id="rId2" w:fontKey="{21F3CD0F-67DC-4360-BB2B-3702EE7E057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DBB0BA73-0231-4469-89DD-8FF9724F670C}"/>
  </w:font>
  <w:font w:name="方正小标宋简体">
    <w:panose1 w:val="02010601030101010101"/>
    <w:charset w:val="86"/>
    <w:family w:val="auto"/>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embedRegular r:id="rId4" w:fontKey="{B5BE9B2D-5929-4DA4-B9BE-1C1E587990AD}"/>
  </w:font>
  <w:font w:name="楷体">
    <w:panose1 w:val="02010609060101010101"/>
    <w:charset w:val="86"/>
    <w:family w:val="modern"/>
    <w:pitch w:val="default"/>
    <w:sig w:usb0="800002BF" w:usb1="38CF7CFA" w:usb2="00000016" w:usb3="00000000" w:csb0="00040001" w:csb1="00000000"/>
    <w:embedRegular r:id="rId5" w:fontKey="{43C3141A-BB7C-414A-A5B6-5923D13B506F}"/>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53208E"/>
    <w:multiLevelType w:val="multilevel"/>
    <w:tmpl w:val="0053208E"/>
    <w:lvl w:ilvl="0" w:tentative="0">
      <w:start w:val="1"/>
      <w:numFmt w:val="none"/>
      <w:suff w:val="nothing"/>
      <w:lvlText w:val=""/>
      <w:lvlJc w:val="left"/>
      <w:pPr>
        <w:tabs>
          <w:tab w:val="left" w:pos="0"/>
        </w:tabs>
        <w:ind w:left="0" w:firstLine="0"/>
      </w:pPr>
      <w:rPr>
        <w:b/>
        <w:i w:val="0"/>
        <w:sz w:val="21"/>
      </w:rPr>
    </w:lvl>
    <w:lvl w:ilvl="1" w:tentative="0">
      <w:start w:val="1"/>
      <w:numFmt w:val="decimal"/>
      <w:suff w:val="nothing"/>
      <w:lvlText w:val="%1%2　"/>
      <w:lvlJc w:val="left"/>
      <w:pPr>
        <w:tabs>
          <w:tab w:val="left" w:pos="0"/>
        </w:tabs>
        <w:ind w:left="0" w:firstLine="0"/>
      </w:pPr>
      <w:rPr>
        <w:rFonts w:ascii="黑体" w:hAnsi="黑体" w:eastAsia="黑体"/>
        <w:b w:val="0"/>
        <w:i w:val="0"/>
        <w:sz w:val="21"/>
      </w:rPr>
    </w:lvl>
    <w:lvl w:ilvl="2" w:tentative="0">
      <w:start w:val="1"/>
      <w:numFmt w:val="decimal"/>
      <w:suff w:val="nothing"/>
      <w:lvlText w:val="%1%2.%3　"/>
      <w:lvlJc w:val="left"/>
      <w:pPr>
        <w:tabs>
          <w:tab w:val="left" w:pos="0"/>
        </w:tabs>
        <w:ind w:left="0" w:firstLine="0"/>
      </w:pPr>
      <w:rPr>
        <w:rFonts w:ascii="黑体" w:hAnsi="黑体" w:eastAsia="黑体"/>
        <w:b w:val="0"/>
        <w:i w:val="0"/>
        <w:sz w:val="21"/>
      </w:rPr>
    </w:lvl>
    <w:lvl w:ilvl="3" w:tentative="0">
      <w:start w:val="1"/>
      <w:numFmt w:val="decimal"/>
      <w:suff w:val="nothing"/>
      <w:lvlText w:val="%1%2.%3.%4　"/>
      <w:lvlJc w:val="left"/>
      <w:pPr>
        <w:tabs>
          <w:tab w:val="left" w:pos="0"/>
        </w:tabs>
        <w:ind w:left="0" w:firstLine="0"/>
      </w:pPr>
      <w:rPr>
        <w:rFonts w:ascii="黑体" w:hAnsi="黑体" w:eastAsia="黑体"/>
        <w:b w:val="0"/>
        <w:i w:val="0"/>
        <w:sz w:val="21"/>
      </w:rPr>
    </w:lvl>
    <w:lvl w:ilvl="4" w:tentative="0">
      <w:start w:val="1"/>
      <w:numFmt w:val="decimal"/>
      <w:suff w:val="nothing"/>
      <w:lvlText w:val="%1%2.%3.%4.%5　"/>
      <w:lvlJc w:val="left"/>
      <w:pPr>
        <w:tabs>
          <w:tab w:val="left" w:pos="0"/>
        </w:tabs>
        <w:ind w:left="0" w:firstLine="0"/>
      </w:pPr>
      <w:rPr>
        <w:rFonts w:ascii="黑体" w:hAnsi="黑体" w:eastAsia="黑体"/>
        <w:b w:val="0"/>
        <w:i w:val="0"/>
        <w:sz w:val="21"/>
      </w:rPr>
    </w:lvl>
    <w:lvl w:ilvl="5" w:tentative="0">
      <w:start w:val="1"/>
      <w:numFmt w:val="decimal"/>
      <w:suff w:val="nothing"/>
      <w:lvlText w:val="%1%2.%3.%4.%5.%6　"/>
      <w:lvlJc w:val="left"/>
      <w:pPr>
        <w:tabs>
          <w:tab w:val="left" w:pos="0"/>
        </w:tabs>
        <w:ind w:left="0" w:firstLine="0"/>
      </w:pPr>
      <w:rPr>
        <w:rFonts w:ascii="黑体" w:hAnsi="黑体" w:eastAsia="黑体"/>
        <w:b w:val="0"/>
        <w:i w:val="0"/>
        <w:sz w:val="21"/>
      </w:rPr>
    </w:lvl>
    <w:lvl w:ilvl="6" w:tentative="0">
      <w:start w:val="1"/>
      <w:numFmt w:val="decimal"/>
      <w:suff w:val="nothing"/>
      <w:lvlText w:val="%1%2.%3.%4.%5.%6.%7　"/>
      <w:lvlJc w:val="left"/>
      <w:pPr>
        <w:tabs>
          <w:tab w:val="left" w:pos="0"/>
        </w:tabs>
        <w:ind w:left="0" w:firstLine="0"/>
      </w:pPr>
      <w:rPr>
        <w:rFonts w:ascii="黑体" w:hAnsi="黑体" w:eastAsia="黑体"/>
        <w:b w:val="0"/>
        <w:i w:val="0"/>
        <w:sz w:val="21"/>
      </w:rPr>
    </w:lvl>
    <w:lvl w:ilvl="7" w:tentative="0">
      <w:start w:val="1"/>
      <w:numFmt w:val="decimal"/>
      <w:lvlText w:val="%1.%2.%3.%4.%5.%6.%7.%8"/>
      <w:lvlJc w:val="left"/>
      <w:pPr>
        <w:tabs>
          <w:tab w:val="left" w:pos="4351"/>
        </w:tabs>
        <w:ind w:left="3969" w:hanging="1418"/>
      </w:pPr>
    </w:lvl>
    <w:lvl w:ilvl="8" w:tentative="0">
      <w:start w:val="1"/>
      <w:numFmt w:val="decimal"/>
      <w:lvlText w:val="%1.%2.%3.%4.%5.%6.%7.%8.%9"/>
      <w:lvlJc w:val="left"/>
      <w:pPr>
        <w:tabs>
          <w:tab w:val="left" w:pos="4777"/>
        </w:tabs>
        <w:ind w:left="4677" w:hanging="1700"/>
      </w:pPr>
    </w:lvl>
  </w:abstractNum>
  <w:abstractNum w:abstractNumId="1">
    <w:nsid w:val="0DA51EEA"/>
    <w:multiLevelType w:val="multilevel"/>
    <w:tmpl w:val="0DA51EEA"/>
    <w:lvl w:ilvl="0" w:tentative="0">
      <w:start w:val="1"/>
      <w:numFmt w:val="decimal"/>
      <w:lvlText w:val="（%1）"/>
      <w:lvlJc w:val="left"/>
      <w:pPr>
        <w:ind w:left="1200" w:hanging="720"/>
      </w:pPr>
      <w:rPr>
        <w:rFonts w:hint="default"/>
      </w:r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2"/>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235A"/>
    <w:rsid w:val="0000135B"/>
    <w:rsid w:val="00141F85"/>
    <w:rsid w:val="001803D4"/>
    <w:rsid w:val="002D447B"/>
    <w:rsid w:val="0041214A"/>
    <w:rsid w:val="00442E51"/>
    <w:rsid w:val="004B6588"/>
    <w:rsid w:val="00687206"/>
    <w:rsid w:val="00692BC4"/>
    <w:rsid w:val="00724DFA"/>
    <w:rsid w:val="007C29B1"/>
    <w:rsid w:val="008D770F"/>
    <w:rsid w:val="008E2A69"/>
    <w:rsid w:val="00934243"/>
    <w:rsid w:val="00A94440"/>
    <w:rsid w:val="00B32689"/>
    <w:rsid w:val="00C124A8"/>
    <w:rsid w:val="00C12921"/>
    <w:rsid w:val="00C415CC"/>
    <w:rsid w:val="00DC235A"/>
    <w:rsid w:val="00F26B2C"/>
    <w:rsid w:val="00FF0CF4"/>
    <w:rsid w:val="09184CFE"/>
    <w:rsid w:val="09A301DE"/>
    <w:rsid w:val="1DB41E1F"/>
    <w:rsid w:val="2BEF508B"/>
    <w:rsid w:val="396F087C"/>
    <w:rsid w:val="6B4A27BF"/>
    <w:rsid w:val="6E524806"/>
    <w:rsid w:val="6F3D28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en-US" w:bidi="ar-SA"/>
    </w:rPr>
  </w:style>
  <w:style w:type="character" w:default="1" w:styleId="6">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8"/>
    <w:qFormat/>
    <w:uiPriority w:val="0"/>
    <w:pPr>
      <w:tabs>
        <w:tab w:val="center" w:pos="4153"/>
        <w:tab w:val="right" w:pos="8306"/>
      </w:tabs>
    </w:pPr>
    <w:rPr>
      <w:sz w:val="18"/>
      <w:szCs w:val="18"/>
    </w:rPr>
  </w:style>
  <w:style w:type="paragraph" w:styleId="3">
    <w:name w:val="header"/>
    <w:basedOn w:val="1"/>
    <w:link w:val="7"/>
    <w:qFormat/>
    <w:uiPriority w:val="0"/>
    <w:pPr>
      <w:tabs>
        <w:tab w:val="center" w:pos="4153"/>
        <w:tab w:val="right" w:pos="8306"/>
      </w:tabs>
      <w:jc w:val="center"/>
    </w:pPr>
    <w:rPr>
      <w:sz w:val="18"/>
      <w:szCs w:val="18"/>
    </w:rPr>
  </w:style>
  <w:style w:type="table" w:styleId="5">
    <w:name w:val="Table Grid"/>
    <w:basedOn w:val="4"/>
    <w:autoRedefine/>
    <w:qFormat/>
    <w:uiPriority w:val="59"/>
    <w:rPr>
      <w:rFonts w:ascii="Times New Roman" w:hAnsi="Times New Roman" w:eastAsia="宋体" w:cs="Times New Roman"/>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customStyle="1" w:styleId="7">
    <w:name w:val="页眉 字符"/>
    <w:basedOn w:val="6"/>
    <w:link w:val="3"/>
    <w:qFormat/>
    <w:uiPriority w:val="0"/>
    <w:rPr>
      <w:rFonts w:ascii="Arial" w:hAnsi="Arial" w:eastAsia="Arial" w:cs="Arial"/>
      <w:snapToGrid w:val="0"/>
      <w:color w:val="000000"/>
      <w:sz w:val="18"/>
      <w:szCs w:val="18"/>
      <w:lang w:eastAsia="en-US"/>
    </w:rPr>
  </w:style>
  <w:style w:type="character" w:customStyle="1" w:styleId="8">
    <w:name w:val="页脚 字符"/>
    <w:basedOn w:val="6"/>
    <w:link w:val="2"/>
    <w:qFormat/>
    <w:uiPriority w:val="0"/>
    <w:rPr>
      <w:rFonts w:ascii="Arial" w:hAnsi="Arial" w:eastAsia="Arial" w:cs="Arial"/>
      <w:snapToGrid w:val="0"/>
      <w:color w:val="000000"/>
      <w:sz w:val="18"/>
      <w:szCs w:val="18"/>
      <w:lang w:eastAsia="en-US"/>
    </w:rPr>
  </w:style>
  <w:style w:type="paragraph" w:customStyle="1" w:styleId="9">
    <w:name w:val="正文1"/>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customStyle="1" w:styleId="10">
    <w:name w:val="font11"/>
    <w:basedOn w:val="6"/>
    <w:autoRedefine/>
    <w:qFormat/>
    <w:uiPriority w:val="0"/>
    <w:rPr>
      <w:rFonts w:hint="eastAsia" w:ascii="宋体" w:hAnsi="宋体" w:eastAsia="宋体" w:cs="宋体"/>
      <w:color w:val="000000"/>
      <w:sz w:val="22"/>
      <w:szCs w:val="22"/>
      <w:u w:val="none"/>
      <w:vertAlign w:val="subscript"/>
    </w:rPr>
  </w:style>
  <w:style w:type="paragraph" w:customStyle="1" w:styleId="11">
    <w:name w:val="前言、引言标题"/>
    <w:next w:val="9"/>
    <w:autoRedefine/>
    <w:qFormat/>
    <w:uiPriority w:val="0"/>
    <w:pPr>
      <w:widowControl w:val="0"/>
      <w:shd w:val="clear" w:color="FFFFFF" w:fill="FFFFFF"/>
      <w:tabs>
        <w:tab w:val="left" w:pos="720"/>
      </w:tabs>
      <w:ind w:left="720" w:hanging="720"/>
      <w:jc w:val="center"/>
      <w:outlineLvl w:val="0"/>
    </w:pPr>
    <w:rPr>
      <w:rFonts w:ascii="黑体" w:hAnsi="黑体" w:eastAsia="黑体" w:cs="Times New Roman"/>
      <w:sz w:val="32"/>
      <w:lang w:val="en-US" w:eastAsia="zh-CN" w:bidi="ar-SA"/>
    </w:rPr>
  </w:style>
  <w:style w:type="paragraph" w:styleId="12">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oleObject" Target="embeddings/oleObject3.bin"/><Relationship Id="rId7" Type="http://schemas.openxmlformats.org/officeDocument/2006/relationships/image" Target="media/image2.emf"/><Relationship Id="rId6" Type="http://schemas.openxmlformats.org/officeDocument/2006/relationships/oleObject" Target="embeddings/oleObject2.bin"/><Relationship Id="rId5" Type="http://schemas.openxmlformats.org/officeDocument/2006/relationships/image" Target="media/image1.wmf"/><Relationship Id="rId4" Type="http://schemas.openxmlformats.org/officeDocument/2006/relationships/oleObject" Target="embeddings/oleObject1.bin"/><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theme" Target="theme/theme1.xml"/><Relationship Id="rId29" Type="http://schemas.openxmlformats.org/officeDocument/2006/relationships/numbering" Target="numbering.xml"/><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jpeg"/><Relationship Id="rId25" Type="http://schemas.openxmlformats.org/officeDocument/2006/relationships/image" Target="media/image19.jpe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2D0A0A-3354-44E2-A2C4-9514899A43D3}">
  <ds:schemaRefs/>
</ds:datastoreItem>
</file>

<file path=docProps/app.xml><?xml version="1.0" encoding="utf-8"?>
<Properties xmlns="http://schemas.openxmlformats.org/officeDocument/2006/extended-properties" xmlns:vt="http://schemas.openxmlformats.org/officeDocument/2006/docPropsVTypes">
  <Template>Normal.dotm</Template>
  <Pages>22</Pages>
  <Words>7181</Words>
  <Characters>9430</Characters>
  <Lines>80</Lines>
  <Paragraphs>22</Paragraphs>
  <TotalTime>2</TotalTime>
  <ScaleCrop>false</ScaleCrop>
  <LinksUpToDate>false</LinksUpToDate>
  <CharactersWithSpaces>9603</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2026-03-13T09:35:00Z</dcterms:created>
  <dc:creator>lishu</dc:creator>
  <cp:lastModifiedBy>李舒畅</cp:lastModifiedBy>
  <cp:lastPrinted>2026-04-01T08:12:00Z</cp:lastPrinted>
  <dcterms:modified xsi:type="dcterms:W3CDTF">2026-04-01T08:38:55Z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KSOTemplateDocerSaveRecord">
    <vt:lpwstr>eyJoZGlkIjoiNTJhODhkZjViODYwNWU1MWFlOGU5MDkzMjY5M2M2NDEiLCJ1c2VySWQiOiIzMzk1MDMzMzUifQ==</vt:lpwstr>
  </property>
  <property fmtid="{D5CDD505-2E9C-101B-9397-08002B2CF9AE}" pid="4" name="ICV">
    <vt:lpwstr>16759F861898499BA27DBDF86DA9BD6E_13</vt:lpwstr>
  </property>
</Properties>
</file>